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A175" w14:textId="77777777" w:rsidR="000B79B9" w:rsidRPr="00650BD4" w:rsidRDefault="000B79B9" w:rsidP="0041788D">
      <w:pPr>
        <w:pBdr>
          <w:top w:val="none" w:sz="4" w:space="0" w:color="000000"/>
          <w:left w:val="none" w:sz="4" w:space="0" w:color="000000"/>
          <w:bottom w:val="none" w:sz="4" w:space="0" w:color="000000"/>
          <w:right w:val="none" w:sz="4" w:space="0" w:color="000000"/>
        </w:pBdr>
        <w:snapToGrid w:val="0"/>
        <w:spacing w:after="0" w:line="276" w:lineRule="auto"/>
        <w:ind w:right="850" w:hanging="450"/>
        <w:jc w:val="center"/>
        <w:rPr>
          <w:rFonts w:cs="Times New Roman"/>
          <w:szCs w:val="24"/>
        </w:rPr>
      </w:pPr>
      <w:r w:rsidRPr="00650BD4">
        <w:rPr>
          <w:rFonts w:cs="Times New Roman"/>
          <w:b/>
          <w:szCs w:val="24"/>
        </w:rPr>
        <w:t>NOTA DE FUNDAMENTARE</w:t>
      </w:r>
    </w:p>
    <w:p w14:paraId="5565E830" w14:textId="588B9509" w:rsidR="00EB46B7" w:rsidRPr="00650BD4" w:rsidRDefault="00781056" w:rsidP="0041788D">
      <w:pPr>
        <w:pStyle w:val="Heading4"/>
        <w:snapToGrid w:val="0"/>
        <w:spacing w:before="0" w:line="276" w:lineRule="auto"/>
        <w:ind w:hanging="450"/>
        <w:jc w:val="center"/>
        <w:rPr>
          <w:rFonts w:ascii="Times New Roman" w:eastAsia="Calibri" w:hAnsi="Times New Roman" w:cs="Times New Roman"/>
          <w:b/>
          <w:bCs/>
          <w:i w:val="0"/>
          <w:iCs w:val="0"/>
          <w:color w:val="auto"/>
          <w:szCs w:val="24"/>
        </w:rPr>
      </w:pPr>
      <w:r w:rsidRPr="00650BD4">
        <w:rPr>
          <w:rFonts w:ascii="Times New Roman" w:eastAsia="Calibri" w:hAnsi="Times New Roman" w:cs="Times New Roman"/>
          <w:b/>
          <w:bCs/>
          <w:i w:val="0"/>
          <w:iCs w:val="0"/>
          <w:color w:val="auto"/>
          <w:szCs w:val="24"/>
        </w:rPr>
        <w:t>La proiectul Hotărârii cu privire la</w:t>
      </w:r>
      <w:r w:rsidR="00EB46B7" w:rsidRPr="00650BD4">
        <w:rPr>
          <w:rFonts w:ascii="Times New Roman" w:eastAsia="Calibri" w:hAnsi="Times New Roman" w:cs="Times New Roman"/>
          <w:b/>
          <w:bCs/>
          <w:i w:val="0"/>
          <w:iCs w:val="0"/>
          <w:color w:val="auto"/>
          <w:szCs w:val="24"/>
        </w:rPr>
        <w:t xml:space="preserve"> modificarea unor hotărâri ale Consiliului </w:t>
      </w:r>
      <w:r w:rsidR="00EB46B7" w:rsidRPr="00650BD4">
        <w:rPr>
          <w:rFonts w:ascii="Times New Roman" w:eastAsia="Calibri" w:hAnsi="Times New Roman" w:cs="Times New Roman"/>
          <w:b/>
          <w:bCs/>
          <w:i w:val="0"/>
          <w:iCs w:val="0"/>
          <w:color w:val="auto"/>
          <w:szCs w:val="24"/>
        </w:rPr>
        <w:br/>
        <w:t>de administrație al Agenţiei Naționale pentru Reglementare în Energetică</w:t>
      </w:r>
    </w:p>
    <w:p w14:paraId="4B44285D" w14:textId="77777777" w:rsidR="00D3760E" w:rsidRPr="00650BD4" w:rsidRDefault="00D3760E" w:rsidP="0041788D">
      <w:pPr>
        <w:snapToGrid w:val="0"/>
        <w:spacing w:after="0" w:line="276" w:lineRule="auto"/>
        <w:ind w:firstLine="450"/>
        <w:jc w:val="center"/>
        <w:rPr>
          <w:rFonts w:eastAsia="Times New Roman" w:cs="Times New Roman"/>
          <w:szCs w:val="24"/>
        </w:rPr>
      </w:pPr>
    </w:p>
    <w:tbl>
      <w:tblPr>
        <w:tblStyle w:val="TableGrid"/>
        <w:tblW w:w="9522" w:type="dxa"/>
        <w:tblInd w:w="-455" w:type="dxa"/>
        <w:tblLook w:val="04A0" w:firstRow="1" w:lastRow="0" w:firstColumn="1" w:lastColumn="0" w:noHBand="0" w:noVBand="1"/>
      </w:tblPr>
      <w:tblGrid>
        <w:gridCol w:w="9522"/>
      </w:tblGrid>
      <w:tr w:rsidR="00650BD4" w:rsidRPr="00650BD4" w14:paraId="2F038155" w14:textId="77777777" w:rsidTr="005A7B0A">
        <w:tc>
          <w:tcPr>
            <w:tcW w:w="9522" w:type="dxa"/>
          </w:tcPr>
          <w:p w14:paraId="10CD4CAF" w14:textId="019307A2" w:rsidR="000B79B9" w:rsidRPr="00650BD4" w:rsidRDefault="000B79B9" w:rsidP="0041788D">
            <w:pPr>
              <w:tabs>
                <w:tab w:val="left" w:pos="343"/>
                <w:tab w:val="left" w:pos="433"/>
              </w:tabs>
              <w:snapToGrid w:val="0"/>
              <w:spacing w:line="276" w:lineRule="auto"/>
              <w:jc w:val="both"/>
              <w:rPr>
                <w:rFonts w:cs="Times New Roman"/>
                <w:szCs w:val="24"/>
              </w:rPr>
            </w:pPr>
            <w:r w:rsidRPr="00650BD4">
              <w:rPr>
                <w:rFonts w:cs="Times New Roman"/>
                <w:b/>
                <w:bCs/>
                <w:szCs w:val="24"/>
              </w:rPr>
              <w:t xml:space="preserve">1. </w:t>
            </w:r>
            <w:r w:rsidR="00781056" w:rsidRPr="00650BD4">
              <w:rPr>
                <w:rFonts w:cs="Times New Roman"/>
                <w:b/>
                <w:bCs/>
                <w:szCs w:val="24"/>
              </w:rPr>
              <w:t xml:space="preserve">   </w:t>
            </w:r>
            <w:r w:rsidRPr="00650BD4">
              <w:rPr>
                <w:rFonts w:cs="Times New Roman"/>
                <w:b/>
                <w:bCs/>
                <w:szCs w:val="24"/>
              </w:rPr>
              <w:t>Denumirea sau numele autorului și, după caz, a/al participanților la elaborarea proiectului actului normativ</w:t>
            </w:r>
          </w:p>
        </w:tc>
      </w:tr>
      <w:tr w:rsidR="00650BD4" w:rsidRPr="00650BD4" w14:paraId="7F282657" w14:textId="77777777" w:rsidTr="005A7B0A">
        <w:tc>
          <w:tcPr>
            <w:tcW w:w="9522" w:type="dxa"/>
          </w:tcPr>
          <w:p w14:paraId="348576B7" w14:textId="77777777" w:rsidR="000B79B9" w:rsidRPr="00650BD4" w:rsidRDefault="000B79B9" w:rsidP="005A7B0A">
            <w:pPr>
              <w:snapToGrid w:val="0"/>
              <w:spacing w:line="276" w:lineRule="auto"/>
              <w:ind w:firstLine="344"/>
              <w:jc w:val="both"/>
              <w:rPr>
                <w:rFonts w:cs="Times New Roman"/>
                <w:szCs w:val="24"/>
              </w:rPr>
            </w:pPr>
            <w:r w:rsidRPr="00650BD4">
              <w:rPr>
                <w:rFonts w:cs="Times New Roman"/>
                <w:bCs/>
                <w:szCs w:val="24"/>
              </w:rPr>
              <w:t>Agenția Națională pentru Reglementare în Energetică (ANRE/Agenție), Departamentul gaze naturale și energie termică, Secția Reglementări</w:t>
            </w:r>
          </w:p>
        </w:tc>
      </w:tr>
      <w:tr w:rsidR="00650BD4" w:rsidRPr="00650BD4" w14:paraId="23C4C662" w14:textId="77777777" w:rsidTr="005A7B0A">
        <w:tc>
          <w:tcPr>
            <w:tcW w:w="9522" w:type="dxa"/>
          </w:tcPr>
          <w:p w14:paraId="4253CBF8" w14:textId="7AA747C9" w:rsidR="000B79B9" w:rsidRPr="00650BD4" w:rsidRDefault="00374B20" w:rsidP="0041788D">
            <w:pPr>
              <w:snapToGrid w:val="0"/>
              <w:spacing w:line="276" w:lineRule="auto"/>
              <w:outlineLvl w:val="1"/>
              <w:rPr>
                <w:rFonts w:eastAsia="Times New Roman" w:cs="Times New Roman"/>
                <w:b/>
                <w:bCs/>
                <w:szCs w:val="24"/>
              </w:rPr>
            </w:pPr>
            <w:r w:rsidRPr="00650BD4">
              <w:rPr>
                <w:rFonts w:eastAsia="Times New Roman" w:cs="Times New Roman"/>
                <w:b/>
                <w:bCs/>
                <w:szCs w:val="24"/>
              </w:rPr>
              <w:t xml:space="preserve">2. </w:t>
            </w:r>
            <w:r w:rsidR="00781056" w:rsidRPr="00650BD4">
              <w:rPr>
                <w:rFonts w:eastAsia="Times New Roman" w:cs="Times New Roman"/>
                <w:b/>
                <w:bCs/>
                <w:szCs w:val="24"/>
              </w:rPr>
              <w:t xml:space="preserve">   </w:t>
            </w:r>
            <w:r w:rsidRPr="00650BD4">
              <w:rPr>
                <w:rFonts w:eastAsia="Times New Roman" w:cs="Times New Roman"/>
                <w:b/>
                <w:bCs/>
                <w:szCs w:val="24"/>
              </w:rPr>
              <w:t>Condițiile ce au impus elaborarea proiectului actului normativ</w:t>
            </w:r>
          </w:p>
        </w:tc>
      </w:tr>
      <w:tr w:rsidR="00650BD4" w:rsidRPr="00650BD4" w14:paraId="1B341480" w14:textId="77777777" w:rsidTr="005A7B0A">
        <w:tc>
          <w:tcPr>
            <w:tcW w:w="9522" w:type="dxa"/>
          </w:tcPr>
          <w:p w14:paraId="4EFB568C" w14:textId="77777777" w:rsidR="00374B20" w:rsidRPr="00650BD4" w:rsidRDefault="00374B20" w:rsidP="0041788D">
            <w:pPr>
              <w:snapToGrid w:val="0"/>
              <w:spacing w:line="276" w:lineRule="auto"/>
              <w:rPr>
                <w:rFonts w:cs="Times New Roman"/>
                <w:b/>
                <w:i/>
                <w:szCs w:val="24"/>
              </w:rPr>
            </w:pPr>
            <w:r w:rsidRPr="00650BD4">
              <w:rPr>
                <w:rFonts w:cs="Times New Roman"/>
                <w:b/>
                <w:i/>
                <w:szCs w:val="24"/>
              </w:rPr>
              <w:t>2.1. Temeiul legal sau, după caz, sursa proiectului actului normativ</w:t>
            </w:r>
          </w:p>
        </w:tc>
      </w:tr>
      <w:tr w:rsidR="00650BD4" w:rsidRPr="00650BD4" w14:paraId="65E6F520" w14:textId="77777777" w:rsidTr="005A7B0A">
        <w:trPr>
          <w:trHeight w:val="9814"/>
        </w:trPr>
        <w:tc>
          <w:tcPr>
            <w:tcW w:w="9522" w:type="dxa"/>
          </w:tcPr>
          <w:p w14:paraId="38032B99" w14:textId="5F5657C8" w:rsidR="00EB46B7" w:rsidRPr="00650BD4" w:rsidRDefault="00EB46B7" w:rsidP="0041788D">
            <w:pPr>
              <w:snapToGrid w:val="0"/>
              <w:spacing w:before="120" w:line="276" w:lineRule="auto"/>
              <w:ind w:firstLine="432"/>
              <w:jc w:val="both"/>
              <w:rPr>
                <w:rFonts w:eastAsia="Times New Roman" w:cs="Times New Roman"/>
                <w:szCs w:val="24"/>
              </w:rPr>
            </w:pPr>
            <w:r w:rsidRPr="00650BD4">
              <w:rPr>
                <w:rFonts w:eastAsia="Times New Roman" w:cs="Times New Roman"/>
                <w:szCs w:val="24"/>
              </w:rPr>
              <w:t xml:space="preserve">Prezenta intervenție își găsește fundamentul juridic în modificările aduse la </w:t>
            </w:r>
            <w:r w:rsidRPr="00650BD4">
              <w:rPr>
                <w:rFonts w:eastAsia="Times New Roman" w:cs="Times New Roman"/>
                <w:i/>
                <w:iCs/>
                <w:szCs w:val="24"/>
              </w:rPr>
              <w:t>Legea nr. 108/2016</w:t>
            </w:r>
            <w:r w:rsidRPr="00650BD4">
              <w:rPr>
                <w:rFonts w:eastAsia="Times New Roman" w:cs="Times New Roman"/>
                <w:szCs w:val="24"/>
              </w:rPr>
              <w:t xml:space="preserve"> cu privire la gazele naturale</w:t>
            </w:r>
            <w:r w:rsidR="00E240C4">
              <w:rPr>
                <w:rFonts w:eastAsia="Times New Roman" w:cs="Times New Roman"/>
                <w:szCs w:val="24"/>
              </w:rPr>
              <w:t>,</w:t>
            </w:r>
            <w:r w:rsidR="00781056" w:rsidRPr="00650BD4">
              <w:rPr>
                <w:rFonts w:eastAsia="Times New Roman" w:cs="Times New Roman"/>
                <w:szCs w:val="24"/>
              </w:rPr>
              <w:t xml:space="preserve"> </w:t>
            </w:r>
            <w:r w:rsidRPr="00650BD4">
              <w:rPr>
                <w:rFonts w:eastAsia="Times New Roman" w:cs="Times New Roman"/>
                <w:szCs w:val="24"/>
              </w:rPr>
              <w:t xml:space="preserve">prin </w:t>
            </w:r>
            <w:r w:rsidRPr="00650BD4">
              <w:rPr>
                <w:rFonts w:eastAsia="Times New Roman" w:cs="Times New Roman"/>
                <w:i/>
                <w:iCs/>
                <w:szCs w:val="24"/>
              </w:rPr>
              <w:t>Legea nr. 152/202</w:t>
            </w:r>
            <w:r w:rsidR="00C03C83" w:rsidRPr="00650BD4">
              <w:rPr>
                <w:rFonts w:eastAsia="Times New Roman" w:cs="Times New Roman"/>
                <w:i/>
                <w:iCs/>
                <w:szCs w:val="24"/>
              </w:rPr>
              <w:t>5</w:t>
            </w:r>
            <w:r w:rsidRPr="00650BD4">
              <w:rPr>
                <w:rFonts w:eastAsia="Times New Roman" w:cs="Times New Roman"/>
                <w:i/>
                <w:iCs/>
                <w:szCs w:val="24"/>
              </w:rPr>
              <w:t xml:space="preserve"> </w:t>
            </w:r>
            <w:r w:rsidRPr="00650BD4">
              <w:rPr>
                <w:rFonts w:eastAsia="Times New Roman" w:cs="Times New Roman"/>
                <w:szCs w:val="24"/>
              </w:rPr>
              <w:t>pentru modificarea unor acte normative (securitatea aprovizionării cu gaze naturale şi alte aspecte ce ţin de sectorul gazelor naturale). Aceste modificări legislative au fost adoptate în contextul alinierii cadrului normativ la standardele și practicile Uniunii Europene, cu scopul</w:t>
            </w:r>
            <w:r w:rsidR="00A46417" w:rsidRPr="00650BD4">
              <w:rPr>
                <w:rFonts w:eastAsia="Times New Roman" w:cs="Times New Roman"/>
                <w:szCs w:val="24"/>
              </w:rPr>
              <w:t xml:space="preserve"> asigurării</w:t>
            </w:r>
            <w:r w:rsidRPr="00650BD4">
              <w:rPr>
                <w:rFonts w:eastAsia="Times New Roman" w:cs="Times New Roman"/>
                <w:szCs w:val="24"/>
              </w:rPr>
              <w:t xml:space="preserve"> liberalizării </w:t>
            </w:r>
            <w:r w:rsidR="00A46417" w:rsidRPr="00650BD4">
              <w:rPr>
                <w:rFonts w:eastAsia="Times New Roman" w:cs="Times New Roman"/>
                <w:szCs w:val="24"/>
              </w:rPr>
              <w:t xml:space="preserve">efective a </w:t>
            </w:r>
            <w:r w:rsidRPr="00650BD4">
              <w:rPr>
                <w:rFonts w:eastAsia="Times New Roman" w:cs="Times New Roman"/>
                <w:szCs w:val="24"/>
              </w:rPr>
              <w:t>pieței de gaze naturale, în beneficiul consumatorilor finali.</w:t>
            </w:r>
          </w:p>
          <w:p w14:paraId="71B86866" w14:textId="515F1183" w:rsidR="00781056" w:rsidRPr="00650BD4" w:rsidRDefault="00781056" w:rsidP="00781056">
            <w:pPr>
              <w:snapToGrid w:val="0"/>
              <w:spacing w:line="276" w:lineRule="auto"/>
              <w:ind w:firstLine="433"/>
              <w:jc w:val="both"/>
              <w:rPr>
                <w:rFonts w:eastAsia="Times New Roman" w:cs="Times New Roman"/>
                <w:szCs w:val="24"/>
              </w:rPr>
            </w:pPr>
            <w:r w:rsidRPr="00650BD4">
              <w:rPr>
                <w:rFonts w:eastAsia="Times New Roman" w:cs="Times New Roman"/>
                <w:szCs w:val="24"/>
              </w:rPr>
              <w:t xml:space="preserve">În temeiul </w:t>
            </w:r>
            <w:r w:rsidR="00421302" w:rsidRPr="00650BD4">
              <w:rPr>
                <w:rFonts w:eastAsia="Times New Roman" w:cs="Times New Roman"/>
                <w:szCs w:val="24"/>
              </w:rPr>
              <w:t xml:space="preserve">art. 7 alin. (1),  lit. o) și </w:t>
            </w:r>
            <w:r w:rsidRPr="00650BD4">
              <w:rPr>
                <w:rFonts w:eastAsia="Times New Roman" w:cs="Times New Roman"/>
                <w:szCs w:val="24"/>
              </w:rPr>
              <w:t xml:space="preserve">88 alin. (1) din Legea nr. 108/2016, </w:t>
            </w:r>
            <w:r w:rsidR="00EB46B7" w:rsidRPr="00650BD4">
              <w:rPr>
                <w:rFonts w:eastAsia="Times New Roman" w:cs="Times New Roman"/>
                <w:szCs w:val="24"/>
              </w:rPr>
              <w:t xml:space="preserve">ANRE a elaborat proiectul de modificare </w:t>
            </w:r>
            <w:r w:rsidR="00A46417" w:rsidRPr="00650BD4">
              <w:rPr>
                <w:rFonts w:eastAsia="Times New Roman" w:cs="Times New Roman"/>
                <w:szCs w:val="24"/>
              </w:rPr>
              <w:t>u</w:t>
            </w:r>
            <w:r w:rsidR="005A7B0A" w:rsidRPr="00650BD4">
              <w:rPr>
                <w:rFonts w:eastAsia="Times New Roman" w:cs="Times New Roman"/>
                <w:szCs w:val="24"/>
              </w:rPr>
              <w:t>rmătoarelor</w:t>
            </w:r>
            <w:r w:rsidR="00EB46B7" w:rsidRPr="00650BD4">
              <w:rPr>
                <w:rFonts w:eastAsia="Times New Roman" w:cs="Times New Roman"/>
                <w:szCs w:val="24"/>
              </w:rPr>
              <w:t xml:space="preserve"> acte normative</w:t>
            </w:r>
            <w:r w:rsidRPr="00650BD4">
              <w:rPr>
                <w:rFonts w:eastAsia="Times New Roman" w:cs="Times New Roman"/>
                <w:szCs w:val="24"/>
              </w:rPr>
              <w:t xml:space="preserve"> de reglementare:</w:t>
            </w:r>
          </w:p>
          <w:p w14:paraId="297DF5F7" w14:textId="0BB67523" w:rsidR="00EB46B7" w:rsidRPr="00650BD4" w:rsidRDefault="00EB46B7" w:rsidP="0041788D">
            <w:pPr>
              <w:pStyle w:val="ListParagraph"/>
              <w:numPr>
                <w:ilvl w:val="0"/>
                <w:numId w:val="18"/>
              </w:numPr>
              <w:snapToGrid w:val="0"/>
              <w:spacing w:line="276" w:lineRule="auto"/>
              <w:ind w:left="0" w:firstLine="433"/>
              <w:jc w:val="both"/>
              <w:rPr>
                <w:rFonts w:eastAsia="Times New Roman" w:cs="Times New Roman"/>
                <w:i/>
                <w:iCs/>
                <w:szCs w:val="24"/>
              </w:rPr>
            </w:pPr>
            <w:r w:rsidRPr="00650BD4">
              <w:rPr>
                <w:rFonts w:cs="Times New Roman"/>
                <w:i/>
                <w:iCs/>
                <w:szCs w:val="24"/>
                <w:shd w:val="clear" w:color="auto" w:fill="FFFFFF"/>
              </w:rPr>
              <w:t>Regulamentul privind furnizarea gazelor naturale, aprobat prin Hotărârea ANRE nr. 113/2019;</w:t>
            </w:r>
          </w:p>
          <w:p w14:paraId="78BA502E" w14:textId="74BD3875" w:rsidR="00A46417" w:rsidRPr="00650BD4" w:rsidRDefault="00EB46B7" w:rsidP="0041788D">
            <w:pPr>
              <w:pStyle w:val="ListParagraph"/>
              <w:numPr>
                <w:ilvl w:val="0"/>
                <w:numId w:val="18"/>
              </w:numPr>
              <w:snapToGrid w:val="0"/>
              <w:spacing w:line="276" w:lineRule="auto"/>
              <w:ind w:left="0" w:firstLine="433"/>
              <w:contextualSpacing w:val="0"/>
              <w:jc w:val="both"/>
              <w:rPr>
                <w:rFonts w:cs="Times New Roman"/>
                <w:i/>
                <w:iCs/>
                <w:szCs w:val="24"/>
                <w:shd w:val="clear" w:color="auto" w:fill="FFFFFF"/>
              </w:rPr>
            </w:pPr>
            <w:r w:rsidRPr="00650BD4">
              <w:rPr>
                <w:rFonts w:cs="Times New Roman"/>
                <w:i/>
                <w:iCs/>
                <w:szCs w:val="24"/>
                <w:shd w:val="clear" w:color="auto" w:fill="FFFFFF"/>
              </w:rPr>
              <w:t>Regulamentul privind procedura de schimbare a furnizorului de gaze naturale  aprobat prin Hotărârea ANRE nr. 363/2020.</w:t>
            </w:r>
          </w:p>
          <w:p w14:paraId="2ED73767" w14:textId="0E726E66" w:rsidR="00374B20" w:rsidRPr="00650BD4" w:rsidRDefault="00781056" w:rsidP="0041788D">
            <w:pPr>
              <w:snapToGrid w:val="0"/>
              <w:spacing w:line="276" w:lineRule="auto"/>
              <w:ind w:firstLine="433"/>
              <w:jc w:val="both"/>
              <w:rPr>
                <w:rFonts w:eastAsia="Times New Roman" w:cs="Times New Roman"/>
                <w:szCs w:val="24"/>
              </w:rPr>
            </w:pPr>
            <w:r w:rsidRPr="00650BD4">
              <w:rPr>
                <w:rFonts w:eastAsia="Times New Roman" w:cs="Times New Roman"/>
                <w:szCs w:val="24"/>
              </w:rPr>
              <w:t>Modificările aduse Legii nr. 108/2016 au ca obiectiv principal accelerarea procesului de liberalizare a pieței gazelor naturale, creșterea gradului de concurență și consolidarea protecției consumatorilor finali. În acest context, se impune adaptarea și completarea cadrului normativ secundar pentru a asigura aplicarea coerentă, uniformă și efectivă a noilor prevederi legale, prin:</w:t>
            </w:r>
          </w:p>
          <w:p w14:paraId="258659D8" w14:textId="5F74A2B8" w:rsidR="00A46417" w:rsidRPr="00650BD4" w:rsidRDefault="00A46417" w:rsidP="0041788D">
            <w:pPr>
              <w:pStyle w:val="NormalWeb"/>
              <w:numPr>
                <w:ilvl w:val="0"/>
                <w:numId w:val="10"/>
              </w:numPr>
              <w:snapToGrid w:val="0"/>
              <w:spacing w:before="0" w:beforeAutospacing="0" w:after="0" w:afterAutospacing="0" w:line="276" w:lineRule="auto"/>
              <w:ind w:left="0" w:firstLine="433"/>
              <w:jc w:val="both"/>
              <w:rPr>
                <w:lang w:val="ro-RO"/>
              </w:rPr>
            </w:pPr>
            <w:r w:rsidRPr="00650BD4">
              <w:rPr>
                <w:rStyle w:val="Strong"/>
                <w:b w:val="0"/>
                <w:bCs w:val="0"/>
                <w:lang w:val="ro-RO"/>
              </w:rPr>
              <w:t>stabilirea condițiilor specifice de furnizare a gazelor naturale</w:t>
            </w:r>
            <w:r w:rsidRPr="00650BD4">
              <w:rPr>
                <w:rStyle w:val="apple-converted-space"/>
                <w:lang w:val="ro-RO"/>
              </w:rPr>
              <w:t> </w:t>
            </w:r>
            <w:r w:rsidRPr="00650BD4">
              <w:rPr>
                <w:lang w:val="ro-RO"/>
              </w:rPr>
              <w:t>pentru categoriile de consumatori finali care nu mai au dreptul de a beneficia de furnizarea gazelor naturale la prețuri reglementate începând cu anul 2026, inclusiv aspecte privind tranziția acestora către piața concurențială;</w:t>
            </w:r>
          </w:p>
          <w:p w14:paraId="2E317615" w14:textId="66707511" w:rsidR="00A46417" w:rsidRPr="00650BD4" w:rsidRDefault="00A46417" w:rsidP="0041788D">
            <w:pPr>
              <w:pStyle w:val="NormalWeb"/>
              <w:numPr>
                <w:ilvl w:val="0"/>
                <w:numId w:val="10"/>
              </w:numPr>
              <w:snapToGrid w:val="0"/>
              <w:spacing w:before="0" w:beforeAutospacing="0" w:after="0" w:afterAutospacing="0" w:line="276" w:lineRule="auto"/>
              <w:ind w:left="0" w:firstLine="433"/>
              <w:jc w:val="both"/>
              <w:rPr>
                <w:lang w:val="ro-RO"/>
              </w:rPr>
            </w:pPr>
            <w:r w:rsidRPr="00650BD4">
              <w:rPr>
                <w:rStyle w:val="Strong"/>
                <w:b w:val="0"/>
                <w:bCs w:val="0"/>
                <w:lang w:val="ro-RO"/>
              </w:rPr>
              <w:t>reglementarea contractelor de furnizare a gazelor naturale pe durată determinată</w:t>
            </w:r>
            <w:r w:rsidRPr="00650BD4">
              <w:rPr>
                <w:lang w:val="ro-RO"/>
              </w:rPr>
              <w:t>, de minimum 12 luni, și la</w:t>
            </w:r>
            <w:r w:rsidRPr="00650BD4">
              <w:rPr>
                <w:rStyle w:val="apple-converted-space"/>
                <w:lang w:val="ro-RO"/>
              </w:rPr>
              <w:t> </w:t>
            </w:r>
            <w:r w:rsidRPr="00650BD4">
              <w:rPr>
                <w:rStyle w:val="Strong"/>
                <w:b w:val="0"/>
                <w:bCs w:val="0"/>
                <w:lang w:val="ro-RO"/>
              </w:rPr>
              <w:t>preț fix</w:t>
            </w:r>
            <w:r w:rsidRPr="00650BD4">
              <w:rPr>
                <w:lang w:val="ro-RO"/>
              </w:rPr>
              <w:t>, cu precizarea drepturilor și obligațiilor părților, a condițiilor de modificare și încetare a contractelor, precum și a mecanismelor de protecție a consumatorilor;</w:t>
            </w:r>
          </w:p>
          <w:p w14:paraId="213E974A" w14:textId="78CCBE29" w:rsidR="00A46417" w:rsidRPr="00650BD4" w:rsidRDefault="00A46417" w:rsidP="0041788D">
            <w:pPr>
              <w:pStyle w:val="NormalWeb"/>
              <w:numPr>
                <w:ilvl w:val="0"/>
                <w:numId w:val="10"/>
              </w:numPr>
              <w:snapToGrid w:val="0"/>
              <w:spacing w:before="0" w:beforeAutospacing="0" w:after="0" w:afterAutospacing="0" w:line="276" w:lineRule="auto"/>
              <w:ind w:left="0" w:firstLine="433"/>
              <w:jc w:val="both"/>
              <w:rPr>
                <w:lang w:val="ro-RO"/>
              </w:rPr>
            </w:pPr>
            <w:r w:rsidRPr="00650BD4">
              <w:rPr>
                <w:rStyle w:val="Strong"/>
                <w:b w:val="0"/>
                <w:bCs w:val="0"/>
                <w:lang w:val="ro-RO"/>
              </w:rPr>
              <w:t>eliminarea unor bariere legislative în procesul de schimbare a furnizorului de gaze naturale</w:t>
            </w:r>
            <w:r w:rsidR="005A7B0A" w:rsidRPr="00650BD4">
              <w:rPr>
                <w:lang w:val="ro-RO"/>
              </w:rPr>
              <w:t xml:space="preserve">, în special: </w:t>
            </w:r>
            <w:r w:rsidRPr="00650BD4">
              <w:rPr>
                <w:lang w:val="ro-RO"/>
              </w:rPr>
              <w:t>imposibilitatea schimbării furnizorului în cazul existenței datoriilor aferente locului de consum, în lipsa unui grafic de eșalonare a acestora</w:t>
            </w:r>
            <w:r w:rsidR="00781056" w:rsidRPr="00650BD4">
              <w:rPr>
                <w:lang w:val="ro-RO"/>
              </w:rPr>
              <w:t xml:space="preserve">, </w:t>
            </w:r>
            <w:r w:rsidRPr="00650BD4">
              <w:rPr>
                <w:lang w:val="ro-RO"/>
              </w:rPr>
              <w:t>obligația de a instala echipamente de măsurare cu citire orară ca o condiție prealabilă pentru schimbarea furnizorului</w:t>
            </w:r>
            <w:r w:rsidR="00781056" w:rsidRPr="00650BD4">
              <w:rPr>
                <w:lang w:val="ro-RO"/>
              </w:rPr>
              <w:t>.</w:t>
            </w:r>
          </w:p>
          <w:p w14:paraId="5995E109" w14:textId="21B7E4D9" w:rsidR="00EB46B7" w:rsidRPr="00650BD4" w:rsidRDefault="00A46417" w:rsidP="0041788D">
            <w:pPr>
              <w:pStyle w:val="NormalWeb"/>
              <w:numPr>
                <w:ilvl w:val="0"/>
                <w:numId w:val="10"/>
              </w:numPr>
              <w:snapToGrid w:val="0"/>
              <w:spacing w:before="0" w:beforeAutospacing="0" w:after="120" w:afterAutospacing="0" w:line="276" w:lineRule="auto"/>
              <w:ind w:left="0" w:firstLine="432"/>
              <w:jc w:val="both"/>
              <w:rPr>
                <w:lang w:val="ro-RO"/>
              </w:rPr>
            </w:pPr>
            <w:r w:rsidRPr="00650BD4">
              <w:rPr>
                <w:rStyle w:val="Strong"/>
                <w:b w:val="0"/>
                <w:bCs w:val="0"/>
                <w:lang w:val="ro-RO"/>
              </w:rPr>
              <w:t>instituirea unui instrument de comparare a ofertelor</w:t>
            </w:r>
            <w:r w:rsidRPr="00650BD4">
              <w:rPr>
                <w:lang w:val="ro-RO"/>
              </w:rPr>
              <w:t>, administrat de ANRE, destinat consumatorilor finali de gaze naturale și energie electrică, cu scopul de a asigura transparență, acces uniform la informații relevante și facilitarea luării unor decizii informate privind alegerea furnizorului.</w:t>
            </w:r>
          </w:p>
        </w:tc>
      </w:tr>
      <w:tr w:rsidR="00650BD4" w:rsidRPr="00650BD4" w14:paraId="64BD7588" w14:textId="77777777" w:rsidTr="005A7B0A">
        <w:tc>
          <w:tcPr>
            <w:tcW w:w="9522" w:type="dxa"/>
          </w:tcPr>
          <w:p w14:paraId="6856CB2D" w14:textId="77777777" w:rsidR="00374B20" w:rsidRPr="00650BD4" w:rsidRDefault="00374B20" w:rsidP="0041788D">
            <w:pPr>
              <w:snapToGrid w:val="0"/>
              <w:spacing w:line="276" w:lineRule="auto"/>
              <w:ind w:firstLine="450"/>
              <w:jc w:val="both"/>
              <w:rPr>
                <w:rFonts w:cs="Times New Roman"/>
                <w:szCs w:val="24"/>
              </w:rPr>
            </w:pPr>
            <w:r w:rsidRPr="00650BD4">
              <w:rPr>
                <w:rFonts w:cs="Times New Roman"/>
                <w:b/>
                <w:i/>
                <w:szCs w:val="24"/>
              </w:rPr>
              <w:t>2.2. Descrierea situației actuale și a problemelor care impun intervenția, inclusiv a cadrului normativ aplicabil și a deficiențelor/lacunelor normative</w:t>
            </w:r>
          </w:p>
        </w:tc>
      </w:tr>
      <w:tr w:rsidR="00650BD4" w:rsidRPr="00650BD4" w14:paraId="00072CD2" w14:textId="77777777" w:rsidTr="00650BD4">
        <w:trPr>
          <w:trHeight w:val="1407"/>
        </w:trPr>
        <w:tc>
          <w:tcPr>
            <w:tcW w:w="9522" w:type="dxa"/>
          </w:tcPr>
          <w:p w14:paraId="2AA233EE" w14:textId="360B30A6" w:rsidR="00A46417" w:rsidRPr="00650BD4" w:rsidRDefault="00781056" w:rsidP="0041788D">
            <w:pPr>
              <w:snapToGrid w:val="0"/>
              <w:spacing w:line="276" w:lineRule="auto"/>
              <w:ind w:firstLine="450"/>
              <w:jc w:val="both"/>
              <w:rPr>
                <w:rFonts w:eastAsia="Times New Roman" w:cs="Times New Roman"/>
                <w:szCs w:val="24"/>
              </w:rPr>
            </w:pPr>
            <w:r w:rsidRPr="00650BD4">
              <w:rPr>
                <w:rFonts w:eastAsia="Times New Roman" w:cs="Times New Roman"/>
                <w:szCs w:val="24"/>
              </w:rPr>
              <w:lastRenderedPageBreak/>
              <w:t xml:space="preserve">Piața de gaze naturale din </w:t>
            </w:r>
            <w:r w:rsidR="00A46417" w:rsidRPr="00650BD4">
              <w:rPr>
                <w:rFonts w:eastAsia="Times New Roman" w:cs="Times New Roman"/>
                <w:szCs w:val="24"/>
              </w:rPr>
              <w:t xml:space="preserve">Republica Moldova </w:t>
            </w:r>
            <w:r w:rsidRPr="00650BD4">
              <w:rPr>
                <w:rFonts w:eastAsia="Times New Roman" w:cs="Times New Roman"/>
                <w:szCs w:val="24"/>
              </w:rPr>
              <w:t xml:space="preserve">se caracterizează prin dependența totală de importuri. </w:t>
            </w:r>
            <w:r w:rsidR="00A46417" w:rsidRPr="00650BD4">
              <w:rPr>
                <w:rFonts w:eastAsia="Times New Roman" w:cs="Times New Roman"/>
                <w:szCs w:val="24"/>
              </w:rPr>
              <w:t>Până la finele anului 2022 principala sursă de import al gazelor naturale a fost Federația Rusă prin intermediul</w:t>
            </w:r>
            <w:r w:rsidRPr="00650BD4">
              <w:rPr>
                <w:rFonts w:eastAsia="Times New Roman" w:cs="Times New Roman"/>
                <w:szCs w:val="24"/>
              </w:rPr>
              <w:t xml:space="preserve"> f</w:t>
            </w:r>
            <w:r w:rsidR="00A46417" w:rsidRPr="00650BD4">
              <w:rPr>
                <w:rFonts w:eastAsia="Times New Roman" w:cs="Times New Roman"/>
                <w:szCs w:val="24"/>
              </w:rPr>
              <w:t xml:space="preserve">urnizorului S.A. „Moldovagaz”. Începând cu sfârșitul anului 2022, a avut loc diversificarea surselor de achiziție a gazelor naturale. Multitudinea surselor de import al gazelor naturale </w:t>
            </w:r>
            <w:r w:rsidRPr="00650BD4">
              <w:rPr>
                <w:rFonts w:eastAsia="Times New Roman" w:cs="Times New Roman"/>
                <w:szCs w:val="24"/>
              </w:rPr>
              <w:t xml:space="preserve"> și rutelor de livrare a gazelor naturale </w:t>
            </w:r>
            <w:r w:rsidR="00A46417" w:rsidRPr="00650BD4">
              <w:rPr>
                <w:rFonts w:eastAsia="Times New Roman" w:cs="Times New Roman"/>
                <w:szCs w:val="24"/>
              </w:rPr>
              <w:t xml:space="preserve">contribuie esențial la liberalizarea pieței, </w:t>
            </w:r>
            <w:r w:rsidRPr="00650BD4">
              <w:rPr>
                <w:rFonts w:eastAsia="Times New Roman" w:cs="Times New Roman"/>
                <w:szCs w:val="24"/>
              </w:rPr>
              <w:t xml:space="preserve">apariția furnizorilor activi </w:t>
            </w:r>
            <w:r w:rsidR="00A46417" w:rsidRPr="00650BD4">
              <w:rPr>
                <w:rFonts w:eastAsia="Times New Roman" w:cs="Times New Roman"/>
                <w:szCs w:val="24"/>
              </w:rPr>
              <w:t>prin crearea condițiilor de concurență și posibilităților consumatorilor de a accesa prețuri mai bune.</w:t>
            </w:r>
          </w:p>
          <w:p w14:paraId="55125D83" w14:textId="19ED0A1E" w:rsidR="00A46417" w:rsidRPr="00650BD4" w:rsidRDefault="00781056" w:rsidP="0041788D">
            <w:pPr>
              <w:pStyle w:val="NormalWeb"/>
              <w:snapToGrid w:val="0"/>
              <w:spacing w:before="0" w:beforeAutospacing="0" w:after="0" w:afterAutospacing="0" w:line="276" w:lineRule="auto"/>
              <w:ind w:firstLine="450"/>
              <w:jc w:val="both"/>
              <w:rPr>
                <w:i/>
                <w:iCs/>
                <w:lang w:val="ro-RO"/>
              </w:rPr>
            </w:pPr>
            <w:r w:rsidRPr="00650BD4">
              <w:rPr>
                <w:lang w:val="ro-RO"/>
              </w:rPr>
              <w:t>Conform</w:t>
            </w:r>
            <w:r w:rsidR="00A46417" w:rsidRPr="00650BD4">
              <w:rPr>
                <w:lang w:val="ro-RO"/>
              </w:rPr>
              <w:t xml:space="preserve"> </w:t>
            </w:r>
            <w:r w:rsidR="00A46417" w:rsidRPr="00650BD4">
              <w:rPr>
                <w:i/>
                <w:iCs/>
                <w:lang w:val="ro-RO"/>
              </w:rPr>
              <w:t>Analizei pieței cu amănuntul a gazelor naturale din Republica Moldova</w:t>
            </w:r>
            <w:r w:rsidRPr="00650BD4">
              <w:rPr>
                <w:rStyle w:val="FootnoteReference"/>
                <w:lang w:val="ro-RO"/>
              </w:rPr>
              <w:footnoteReference w:id="1"/>
            </w:r>
            <w:r w:rsidR="00A46417" w:rsidRPr="00650BD4">
              <w:rPr>
                <w:i/>
                <w:iCs/>
                <w:lang w:val="ro-RO"/>
              </w:rPr>
              <w:t xml:space="preserve"> pentru perioada ianuarie 2024 - iunie 2025</w:t>
            </w:r>
            <w:r w:rsidR="00A46417" w:rsidRPr="00650BD4">
              <w:rPr>
                <w:lang w:val="ro-RO"/>
              </w:rPr>
              <w:t xml:space="preserve">, publicată de ANRE, </w:t>
            </w:r>
            <w:r w:rsidRPr="00650BD4">
              <w:rPr>
                <w:lang w:val="ro-RO"/>
              </w:rPr>
              <w:t xml:space="preserve">în anul 2024 - </w:t>
            </w:r>
            <w:r w:rsidR="00A46417" w:rsidRPr="00650BD4">
              <w:rPr>
                <w:lang w:val="ro-RO"/>
              </w:rPr>
              <w:t xml:space="preserve">indicatorului de concentrare a pieței Herfindahl – Hirschman (HHI) </w:t>
            </w:r>
            <w:r w:rsidRPr="00650BD4">
              <w:rPr>
                <w:lang w:val="ro-RO"/>
              </w:rPr>
              <w:t>a înregistrat</w:t>
            </w:r>
            <w:r w:rsidR="00A46417" w:rsidRPr="00650BD4">
              <w:rPr>
                <w:lang w:val="ro-RO"/>
              </w:rPr>
              <w:t xml:space="preserve"> un nivel înalt de concentrație (7 940). În schimb, </w:t>
            </w:r>
            <w:r w:rsidRPr="00650BD4">
              <w:rPr>
                <w:lang w:val="ro-RO"/>
              </w:rPr>
              <w:t xml:space="preserve">în </w:t>
            </w:r>
            <w:r w:rsidR="00A46417" w:rsidRPr="00650BD4">
              <w:rPr>
                <w:lang w:val="ro-RO"/>
              </w:rPr>
              <w:t>semestrul I 2025, HHI a scăzut ușor ceea ce semnalează o reducere a concentrării pieței, fapt datorat migrării consumatorilor de la furnizorul cu obligația de serviciu public la alți furnizori de gaze naturale din piața nereglementată.</w:t>
            </w:r>
          </w:p>
          <w:p w14:paraId="4885C549" w14:textId="1C340273" w:rsidR="00A46417" w:rsidRPr="00650BD4" w:rsidRDefault="00A46417" w:rsidP="0041788D">
            <w:pPr>
              <w:pStyle w:val="ListParagraph"/>
              <w:tabs>
                <w:tab w:val="left" w:pos="1231"/>
              </w:tabs>
              <w:snapToGrid w:val="0"/>
              <w:spacing w:line="276" w:lineRule="auto"/>
              <w:ind w:left="0" w:firstLine="450"/>
              <w:contextualSpacing w:val="0"/>
              <w:jc w:val="both"/>
              <w:rPr>
                <w:rFonts w:cs="Times New Roman"/>
                <w:szCs w:val="24"/>
              </w:rPr>
            </w:pPr>
            <w:r w:rsidRPr="00650BD4">
              <w:rPr>
                <w:rFonts w:cs="Times New Roman"/>
                <w:szCs w:val="24"/>
              </w:rPr>
              <w:t>Deși opțiunea de eligibilitate există în legislați</w:t>
            </w:r>
            <w:r w:rsidR="00781056" w:rsidRPr="00650BD4">
              <w:rPr>
                <w:rFonts w:cs="Times New Roman"/>
                <w:szCs w:val="24"/>
              </w:rPr>
              <w:t>a națională</w:t>
            </w:r>
            <w:r w:rsidRPr="00650BD4">
              <w:rPr>
                <w:rFonts w:cs="Times New Roman"/>
                <w:szCs w:val="24"/>
              </w:rPr>
              <w:t xml:space="preserve"> încă din </w:t>
            </w:r>
            <w:r w:rsidR="00781056" w:rsidRPr="00650BD4">
              <w:rPr>
                <w:rFonts w:cs="Times New Roman"/>
                <w:szCs w:val="24"/>
              </w:rPr>
              <w:t xml:space="preserve">anul </w:t>
            </w:r>
            <w:r w:rsidRPr="00650BD4">
              <w:rPr>
                <w:rFonts w:cs="Times New Roman"/>
                <w:szCs w:val="24"/>
              </w:rPr>
              <w:t>2016, piața gazelor naturale cu amănuntul este încă dominată de furnizorul cu obligația de serviciu public de furnizare a gazelor naturale la prețuri reglementate pentru anumite categorii de consumatori, care deține circa 91 % cota de piață, în timp ce ceilalți 11 furnizori activi împart mai puțin de 9%. Această structură denotă că</w:t>
            </w:r>
            <w:r w:rsidR="00781056" w:rsidRPr="00650BD4">
              <w:rPr>
                <w:rFonts w:cs="Times New Roman"/>
                <w:szCs w:val="24"/>
              </w:rPr>
              <w:t xml:space="preserve"> </w:t>
            </w:r>
            <w:r w:rsidRPr="00650BD4">
              <w:rPr>
                <w:rFonts w:cs="Times New Roman"/>
                <w:szCs w:val="24"/>
              </w:rPr>
              <w:t>în lipsa unor instrumente suplimentare de transparență și comparare, concurența nu poate să se dezvolte organic.</w:t>
            </w:r>
          </w:p>
          <w:p w14:paraId="228C32CB" w14:textId="15886077" w:rsidR="00A46417" w:rsidRPr="00650BD4" w:rsidRDefault="00781056" w:rsidP="0041788D">
            <w:pPr>
              <w:snapToGrid w:val="0"/>
              <w:spacing w:line="276" w:lineRule="auto"/>
              <w:ind w:firstLine="450"/>
              <w:jc w:val="both"/>
              <w:outlineLvl w:val="2"/>
              <w:rPr>
                <w:rFonts w:cs="Times New Roman"/>
                <w:szCs w:val="24"/>
              </w:rPr>
            </w:pPr>
            <w:r w:rsidRPr="00650BD4">
              <w:rPr>
                <w:rFonts w:cs="Times New Roman"/>
                <w:szCs w:val="24"/>
              </w:rPr>
              <w:t>Potrivit R</w:t>
            </w:r>
            <w:r w:rsidR="00A46417" w:rsidRPr="00650BD4">
              <w:rPr>
                <w:rFonts w:cs="Times New Roman"/>
                <w:szCs w:val="24"/>
              </w:rPr>
              <w:t xml:space="preserve">aportului anual de activitate al ANRE pentru anul 2024, doar </w:t>
            </w:r>
            <w:r w:rsidR="00A46417" w:rsidRPr="00650BD4">
              <w:rPr>
                <w:rStyle w:val="Strong"/>
                <w:rFonts w:cs="Times New Roman"/>
                <w:szCs w:val="24"/>
              </w:rPr>
              <w:t>117 consumatori</w:t>
            </w:r>
            <w:r w:rsidR="00A46417" w:rsidRPr="00650BD4">
              <w:rPr>
                <w:rFonts w:cs="Times New Roman"/>
                <w:szCs w:val="24"/>
              </w:rPr>
              <w:t xml:space="preserve"> dintr-un total de peste </w:t>
            </w:r>
            <w:r w:rsidR="00A46417" w:rsidRPr="00650BD4">
              <w:rPr>
                <w:rStyle w:val="Strong"/>
                <w:rFonts w:cs="Times New Roman"/>
                <w:b w:val="0"/>
                <w:bCs w:val="0"/>
                <w:szCs w:val="24"/>
              </w:rPr>
              <w:t>834 000 consumatori și-au exercitat dreptul de schimbare a furnizorului (0,004%)</w:t>
            </w:r>
            <w:r w:rsidR="00A46417" w:rsidRPr="00650BD4">
              <w:rPr>
                <w:rFonts w:cs="Times New Roman"/>
                <w:szCs w:val="24"/>
              </w:rPr>
              <w:t xml:space="preserve"> Dintre aceștia, doar 30 au fost consumatori casnici, restul fiind noncasnici. </w:t>
            </w:r>
            <w:r w:rsidR="00A46417" w:rsidRPr="00650BD4">
              <w:rPr>
                <w:rFonts w:cs="Times New Roman"/>
                <w:i/>
                <w:iCs/>
                <w:szCs w:val="24"/>
              </w:rPr>
              <w:t>Această cifră confirmă caracterul static al pieței și reflectă o concurență slabă, fără presiune reală asupra furnizorilor dominanți.</w:t>
            </w:r>
          </w:p>
          <w:p w14:paraId="154C6083" w14:textId="603E0F41" w:rsidR="00A46417" w:rsidRPr="00650BD4" w:rsidRDefault="00A46417" w:rsidP="0041788D">
            <w:pPr>
              <w:pStyle w:val="ListParagraph"/>
              <w:tabs>
                <w:tab w:val="left" w:pos="284"/>
              </w:tabs>
              <w:snapToGrid w:val="0"/>
              <w:spacing w:line="276" w:lineRule="auto"/>
              <w:ind w:left="0" w:firstLine="450"/>
              <w:contextualSpacing w:val="0"/>
              <w:jc w:val="both"/>
              <w:rPr>
                <w:rFonts w:cs="Times New Roman"/>
                <w:szCs w:val="24"/>
              </w:rPr>
            </w:pPr>
            <w:r w:rsidRPr="00650BD4">
              <w:rPr>
                <w:rFonts w:cs="Times New Roman"/>
                <w:szCs w:val="24"/>
              </w:rPr>
              <w:t xml:space="preserve">În iulie 2025, au fost operate mai multe modificări la Legea nr. 108/2016 cu privire la gazele naturale prin care s-au instituit mai multe mecanisme în vederea favorizării liberalizării pieței de gaze naturale. Corespunzător, Agenția are obligația să-și aducă actele sale normative de reglementare în conformitate cu legea în termenii stabiliți de aceasta. </w:t>
            </w:r>
          </w:p>
          <w:p w14:paraId="2BC0000D" w14:textId="4DFD6AAC" w:rsidR="00A46417" w:rsidRPr="00650BD4" w:rsidRDefault="00A46417" w:rsidP="0041788D">
            <w:pPr>
              <w:snapToGrid w:val="0"/>
              <w:spacing w:line="276" w:lineRule="auto"/>
              <w:ind w:firstLine="450"/>
              <w:jc w:val="both"/>
              <w:rPr>
                <w:rFonts w:cs="Times New Roman"/>
                <w:szCs w:val="24"/>
              </w:rPr>
            </w:pPr>
            <w:r w:rsidRPr="00650BD4">
              <w:rPr>
                <w:rFonts w:cs="Times New Roman"/>
                <w:szCs w:val="24"/>
              </w:rPr>
              <w:t xml:space="preserve">După efectuarea unei evaluări a concurenţei pe piaţa gazelor naturale, inclusiv prin aplicarea indicatorilor de concentrare a pieţei stabiliţi în Regulile pieţei gazelor naturale aprobate prin Hotărârea ANRE nr. 534/2019, Agenţia a aprobat în septembrie 2025 Hotărârea nr. 564/2025 </w:t>
            </w:r>
            <w:r w:rsidRPr="00650BD4">
              <w:rPr>
                <w:rFonts w:cs="Times New Roman"/>
                <w:i/>
                <w:szCs w:val="24"/>
              </w:rPr>
              <w:t xml:space="preserve">,,Cu privire la aprobarea calendarului privind restricționarea graduală a accesului consumatorilor noncasnici mari și mijlocii la furnizarea gazelor naturale, în contextul obligației de serviciu public. </w:t>
            </w:r>
            <w:r w:rsidRPr="00650BD4">
              <w:rPr>
                <w:rFonts w:cs="Times New Roman"/>
                <w:szCs w:val="24"/>
              </w:rPr>
              <w:t>Măsura este aliniată cu Agenda de reforme aferentă Planului de creștere al Republicii Moldova pentru anii 2025-2027, aprobată prin Hotărârea Guvernului nr. 260/2025.</w:t>
            </w:r>
          </w:p>
          <w:p w14:paraId="171879C8" w14:textId="2ED4D1A5" w:rsidR="00A46417" w:rsidRPr="00650BD4" w:rsidRDefault="00A46417" w:rsidP="0041788D">
            <w:pPr>
              <w:snapToGrid w:val="0"/>
              <w:spacing w:line="276" w:lineRule="auto"/>
              <w:ind w:firstLine="450"/>
              <w:jc w:val="both"/>
              <w:rPr>
                <w:rFonts w:cs="Times New Roman"/>
                <w:szCs w:val="24"/>
              </w:rPr>
            </w:pPr>
            <w:r w:rsidRPr="00650BD4">
              <w:rPr>
                <w:rFonts w:cs="Times New Roman"/>
                <w:szCs w:val="24"/>
              </w:rPr>
              <w:t>La fel, prin Ho</w:t>
            </w:r>
            <w:r w:rsidR="005A7B0A" w:rsidRPr="00650BD4">
              <w:rPr>
                <w:rFonts w:cs="Times New Roman"/>
                <w:szCs w:val="24"/>
              </w:rPr>
              <w:t>tărârea ANRE nr. 425/</w:t>
            </w:r>
            <w:r w:rsidRPr="00650BD4">
              <w:rPr>
                <w:rFonts w:cs="Times New Roman"/>
                <w:szCs w:val="24"/>
              </w:rPr>
              <w:t>2025, s-au stabilit pragurile de consum pentru identificarea și atribuirea categoriilor de consumatori noncasnici în funcție de consumul de gaze naturale al acestora, după cum urmează:</w:t>
            </w:r>
          </w:p>
          <w:p w14:paraId="2104A3D5" w14:textId="77777777" w:rsidR="00A46417" w:rsidRPr="00650BD4" w:rsidRDefault="00A46417" w:rsidP="0041788D">
            <w:pPr>
              <w:snapToGrid w:val="0"/>
              <w:spacing w:line="276" w:lineRule="auto"/>
              <w:ind w:firstLine="450"/>
              <w:jc w:val="both"/>
              <w:rPr>
                <w:rFonts w:cs="Times New Roman"/>
                <w:szCs w:val="24"/>
              </w:rPr>
            </w:pPr>
            <w:r w:rsidRPr="00650BD4">
              <w:rPr>
                <w:rFonts w:cs="Times New Roman"/>
                <w:szCs w:val="24"/>
              </w:rPr>
              <w:t>- consumatori noncasnici mici – până la 10 mii m</w:t>
            </w:r>
            <w:r w:rsidRPr="00650BD4">
              <w:rPr>
                <w:rFonts w:cs="Times New Roman"/>
                <w:szCs w:val="24"/>
                <w:vertAlign w:val="superscript"/>
              </w:rPr>
              <w:t>3</w:t>
            </w:r>
            <w:r w:rsidRPr="00650BD4">
              <w:rPr>
                <w:rFonts w:cs="Times New Roman"/>
                <w:szCs w:val="24"/>
              </w:rPr>
              <w:t>/an;</w:t>
            </w:r>
          </w:p>
          <w:p w14:paraId="4A0DE25E" w14:textId="77777777" w:rsidR="00A46417" w:rsidRPr="00650BD4" w:rsidRDefault="00A46417" w:rsidP="0041788D">
            <w:pPr>
              <w:snapToGrid w:val="0"/>
              <w:spacing w:line="276" w:lineRule="auto"/>
              <w:ind w:firstLine="450"/>
              <w:jc w:val="both"/>
              <w:rPr>
                <w:rFonts w:cs="Times New Roman"/>
                <w:szCs w:val="24"/>
              </w:rPr>
            </w:pPr>
            <w:r w:rsidRPr="00650BD4">
              <w:rPr>
                <w:rFonts w:cs="Times New Roman"/>
                <w:szCs w:val="24"/>
              </w:rPr>
              <w:t>- consumatori noncasnici mijlocii – de la 10 mii m</w:t>
            </w:r>
            <w:r w:rsidRPr="00650BD4">
              <w:rPr>
                <w:rFonts w:cs="Times New Roman"/>
                <w:szCs w:val="24"/>
                <w:vertAlign w:val="superscript"/>
              </w:rPr>
              <w:t>3</w:t>
            </w:r>
            <w:r w:rsidRPr="00650BD4">
              <w:rPr>
                <w:rFonts w:cs="Times New Roman"/>
                <w:szCs w:val="24"/>
              </w:rPr>
              <w:t>/an până la 100 mii m</w:t>
            </w:r>
            <w:r w:rsidRPr="00650BD4">
              <w:rPr>
                <w:rFonts w:cs="Times New Roman"/>
                <w:szCs w:val="24"/>
                <w:vertAlign w:val="superscript"/>
              </w:rPr>
              <w:t>3</w:t>
            </w:r>
            <w:r w:rsidRPr="00650BD4">
              <w:rPr>
                <w:rFonts w:cs="Times New Roman"/>
                <w:szCs w:val="24"/>
              </w:rPr>
              <w:t>/an;</w:t>
            </w:r>
          </w:p>
          <w:p w14:paraId="22C3E2B6" w14:textId="12A0159D" w:rsidR="00A46417" w:rsidRPr="00650BD4" w:rsidRDefault="00A46417" w:rsidP="0041788D">
            <w:pPr>
              <w:snapToGrid w:val="0"/>
              <w:spacing w:line="276" w:lineRule="auto"/>
              <w:ind w:firstLine="450"/>
              <w:jc w:val="both"/>
              <w:rPr>
                <w:rFonts w:cs="Times New Roman"/>
                <w:szCs w:val="24"/>
              </w:rPr>
            </w:pPr>
            <w:r w:rsidRPr="00650BD4">
              <w:rPr>
                <w:rFonts w:cs="Times New Roman"/>
                <w:szCs w:val="24"/>
              </w:rPr>
              <w:t>- consumatori noncasnici mari – peste 100 mii m</w:t>
            </w:r>
            <w:r w:rsidRPr="00650BD4">
              <w:rPr>
                <w:rFonts w:cs="Times New Roman"/>
                <w:szCs w:val="24"/>
                <w:vertAlign w:val="superscript"/>
              </w:rPr>
              <w:t>3</w:t>
            </w:r>
            <w:r w:rsidRPr="00650BD4">
              <w:rPr>
                <w:rFonts w:cs="Times New Roman"/>
                <w:szCs w:val="24"/>
              </w:rPr>
              <w:t>/an.</w:t>
            </w:r>
          </w:p>
          <w:p w14:paraId="6DFADE9B" w14:textId="77777777" w:rsidR="00A46417" w:rsidRPr="00650BD4" w:rsidRDefault="00A46417" w:rsidP="0041788D">
            <w:pPr>
              <w:snapToGrid w:val="0"/>
              <w:spacing w:line="276" w:lineRule="auto"/>
              <w:ind w:firstLine="450"/>
              <w:jc w:val="both"/>
              <w:rPr>
                <w:rFonts w:cs="Times New Roman"/>
                <w:szCs w:val="24"/>
              </w:rPr>
            </w:pPr>
          </w:p>
          <w:p w14:paraId="6B94AF4C" w14:textId="6B8E438E" w:rsidR="00A46417" w:rsidRPr="00650BD4" w:rsidRDefault="00A46417" w:rsidP="0041788D">
            <w:pPr>
              <w:snapToGrid w:val="0"/>
              <w:spacing w:line="276" w:lineRule="auto"/>
              <w:ind w:firstLine="450"/>
              <w:jc w:val="both"/>
              <w:rPr>
                <w:rFonts w:eastAsia="Times New Roman" w:cs="Times New Roman"/>
                <w:szCs w:val="24"/>
              </w:rPr>
            </w:pPr>
            <w:r w:rsidRPr="00650BD4">
              <w:rPr>
                <w:rFonts w:cs="Times New Roman"/>
                <w:szCs w:val="24"/>
              </w:rPr>
              <w:lastRenderedPageBreak/>
              <w:t xml:space="preserve">Tabelul de mai jos reflectă informația aferentă volumelor de gaze naturale consumate în anul 2024 de consumatorii noncasnici </w:t>
            </w:r>
            <w:r w:rsidRPr="00650BD4">
              <w:rPr>
                <w:rFonts w:cs="Times New Roman"/>
                <w:i/>
                <w:szCs w:val="24"/>
              </w:rPr>
              <w:t>pe categorii de consumatori, în funcție de pragurile de consum aprobate prin Hotărârea ANRE nr. 425/2025.</w:t>
            </w:r>
            <w:r w:rsidRPr="00650BD4">
              <w:rPr>
                <w:rFonts w:cs="Times New Roman"/>
                <w:szCs w:val="24"/>
              </w:rPr>
              <w:t xml:space="preserve"> Î</w:t>
            </w:r>
            <w:r w:rsidRPr="00650BD4">
              <w:rPr>
                <w:rFonts w:eastAsia="Times New Roman" w:cs="Times New Roman"/>
                <w:szCs w:val="24"/>
              </w:rPr>
              <w:t>n anul 2024, 57 % din volumul total de gaze naturale consumat îi revine consumatorilor noncasnici mari, deși numărul acestora constituie doar 0,03 % din numărul total al consumatorilor din țară. Totodată, volumul gazelor naturale aferent consumatorilor noncasnici mijlocii reprezintă doar 6 %, iar numărul acestora este de 7 ori mai mare decât numărul consumatorilor noncasnici mari</w:t>
            </w:r>
            <w:r w:rsidR="005A7B0A" w:rsidRPr="00650BD4">
              <w:rPr>
                <w:rFonts w:eastAsia="Times New Roman" w:cs="Times New Roman"/>
                <w:szCs w:val="24"/>
              </w:rPr>
              <w:t>.</w:t>
            </w:r>
          </w:p>
          <w:tbl>
            <w:tblPr>
              <w:tblW w:w="8611" w:type="dxa"/>
              <w:tblInd w:w="483" w:type="dxa"/>
              <w:tblLook w:val="04A0" w:firstRow="1" w:lastRow="0" w:firstColumn="1" w:lastColumn="0" w:noHBand="0" w:noVBand="1"/>
            </w:tblPr>
            <w:tblGrid>
              <w:gridCol w:w="481"/>
              <w:gridCol w:w="3913"/>
              <w:gridCol w:w="1418"/>
              <w:gridCol w:w="1240"/>
              <w:gridCol w:w="1559"/>
            </w:tblGrid>
            <w:tr w:rsidR="00650BD4" w:rsidRPr="00650BD4" w14:paraId="64D244BE" w14:textId="77777777" w:rsidTr="00650BD4">
              <w:trPr>
                <w:trHeight w:val="61"/>
              </w:trPr>
              <w:tc>
                <w:tcPr>
                  <w:tcW w:w="481" w:type="dxa"/>
                  <w:vMerge w:val="restart"/>
                  <w:tcBorders>
                    <w:top w:val="single" w:sz="2" w:space="0" w:color="000000"/>
                    <w:left w:val="single" w:sz="2" w:space="0" w:color="000000"/>
                    <w:bottom w:val="single" w:sz="2" w:space="0" w:color="000000"/>
                    <w:right w:val="single" w:sz="2" w:space="0" w:color="000000"/>
                  </w:tcBorders>
                  <w:noWrap/>
                  <w:vAlign w:val="center"/>
                </w:tcPr>
                <w:p w14:paraId="61663DA3" w14:textId="5A32E5DF" w:rsidR="00A46417" w:rsidRPr="00650BD4" w:rsidRDefault="00A46417" w:rsidP="005A7B0A">
                  <w:pPr>
                    <w:snapToGrid w:val="0"/>
                    <w:spacing w:after="0"/>
                    <w:ind w:right="-14"/>
                    <w:rPr>
                      <w:rFonts w:cs="Times New Roman"/>
                      <w:b/>
                      <w:bCs/>
                      <w:sz w:val="18"/>
                      <w:szCs w:val="21"/>
                    </w:rPr>
                  </w:pPr>
                  <w:r w:rsidRPr="00650BD4">
                    <w:rPr>
                      <w:rFonts w:cs="Times New Roman"/>
                      <w:b/>
                      <w:bCs/>
                      <w:sz w:val="18"/>
                      <w:szCs w:val="21"/>
                    </w:rPr>
                    <w:t>No</w:t>
                  </w:r>
                  <w:r w:rsidR="00781056" w:rsidRPr="00650BD4">
                    <w:rPr>
                      <w:rFonts w:cs="Times New Roman"/>
                      <w:b/>
                      <w:bCs/>
                      <w:sz w:val="18"/>
                      <w:szCs w:val="21"/>
                    </w:rPr>
                    <w:t>.</w:t>
                  </w:r>
                </w:p>
              </w:tc>
              <w:tc>
                <w:tcPr>
                  <w:tcW w:w="3913" w:type="dxa"/>
                  <w:vMerge w:val="restart"/>
                  <w:tcBorders>
                    <w:top w:val="single" w:sz="2" w:space="0" w:color="000000"/>
                    <w:left w:val="single" w:sz="2" w:space="0" w:color="000000"/>
                    <w:bottom w:val="single" w:sz="2" w:space="0" w:color="000000"/>
                    <w:right w:val="single" w:sz="2" w:space="0" w:color="000000"/>
                  </w:tcBorders>
                  <w:vAlign w:val="center"/>
                </w:tcPr>
                <w:p w14:paraId="2A5776B9" w14:textId="08B2BBD3" w:rsidR="00A46417" w:rsidRPr="00650BD4" w:rsidRDefault="00A46417" w:rsidP="005A7B0A">
                  <w:pPr>
                    <w:snapToGrid w:val="0"/>
                    <w:spacing w:after="0"/>
                    <w:rPr>
                      <w:rFonts w:cs="Times New Roman"/>
                      <w:b/>
                      <w:bCs/>
                      <w:sz w:val="18"/>
                      <w:szCs w:val="21"/>
                    </w:rPr>
                  </w:pPr>
                  <w:r w:rsidRPr="00650BD4">
                    <w:rPr>
                      <w:rFonts w:cs="Times New Roman"/>
                      <w:b/>
                      <w:bCs/>
                      <w:sz w:val="18"/>
                      <w:szCs w:val="21"/>
                    </w:rPr>
                    <w:t>Categoria consumator</w:t>
                  </w:r>
                  <w:r w:rsidR="00C92847" w:rsidRPr="00650BD4">
                    <w:rPr>
                      <w:rFonts w:cs="Times New Roman"/>
                      <w:b/>
                      <w:bCs/>
                      <w:sz w:val="18"/>
                      <w:szCs w:val="21"/>
                    </w:rPr>
                    <w:t xml:space="preserve">ilor </w:t>
                  </w:r>
                  <w:r w:rsidRPr="00650BD4">
                    <w:rPr>
                      <w:rFonts w:cs="Times New Roman"/>
                      <w:b/>
                      <w:bCs/>
                      <w:sz w:val="18"/>
                      <w:szCs w:val="21"/>
                    </w:rPr>
                    <w:t>noncasnic</w:t>
                  </w:r>
                  <w:r w:rsidR="00C92847" w:rsidRPr="00650BD4">
                    <w:rPr>
                      <w:rFonts w:cs="Times New Roman"/>
                      <w:b/>
                      <w:bCs/>
                      <w:sz w:val="18"/>
                      <w:szCs w:val="21"/>
                    </w:rPr>
                    <w:t>i</w:t>
                  </w:r>
                </w:p>
              </w:tc>
              <w:tc>
                <w:tcPr>
                  <w:tcW w:w="1418" w:type="dxa"/>
                  <w:vMerge w:val="restart"/>
                  <w:tcBorders>
                    <w:top w:val="single" w:sz="2" w:space="0" w:color="000000"/>
                    <w:left w:val="single" w:sz="2" w:space="0" w:color="000000"/>
                    <w:bottom w:val="single" w:sz="2" w:space="0" w:color="000000"/>
                    <w:right w:val="single" w:sz="2" w:space="0" w:color="000000"/>
                  </w:tcBorders>
                  <w:vAlign w:val="center"/>
                </w:tcPr>
                <w:p w14:paraId="78726F3F" w14:textId="77777777" w:rsidR="00A46417" w:rsidRPr="00650BD4" w:rsidRDefault="00A46417" w:rsidP="005A7B0A">
                  <w:pPr>
                    <w:snapToGrid w:val="0"/>
                    <w:spacing w:after="0"/>
                    <w:jc w:val="center"/>
                    <w:rPr>
                      <w:rFonts w:cs="Times New Roman"/>
                      <w:b/>
                      <w:bCs/>
                      <w:sz w:val="18"/>
                      <w:szCs w:val="21"/>
                    </w:rPr>
                  </w:pPr>
                  <w:r w:rsidRPr="00650BD4">
                    <w:rPr>
                      <w:b/>
                      <w:sz w:val="18"/>
                      <w:szCs w:val="21"/>
                    </w:rPr>
                    <w:t>Pragul de consum m</w:t>
                  </w:r>
                  <w:r w:rsidRPr="00650BD4">
                    <w:rPr>
                      <w:b/>
                      <w:sz w:val="18"/>
                      <w:szCs w:val="21"/>
                      <w:vertAlign w:val="superscript"/>
                    </w:rPr>
                    <w:t>3</w:t>
                  </w:r>
                  <w:r w:rsidRPr="00650BD4">
                    <w:rPr>
                      <w:b/>
                      <w:sz w:val="18"/>
                      <w:szCs w:val="21"/>
                    </w:rPr>
                    <w:t>/an</w:t>
                  </w:r>
                </w:p>
              </w:tc>
              <w:tc>
                <w:tcPr>
                  <w:tcW w:w="2799" w:type="dxa"/>
                  <w:gridSpan w:val="2"/>
                  <w:tcBorders>
                    <w:top w:val="single" w:sz="2" w:space="0" w:color="000000"/>
                    <w:left w:val="single" w:sz="2" w:space="0" w:color="000000"/>
                    <w:bottom w:val="single" w:sz="2" w:space="0" w:color="000000"/>
                    <w:right w:val="single" w:sz="2" w:space="0" w:color="000000"/>
                  </w:tcBorders>
                  <w:noWrap/>
                  <w:vAlign w:val="center"/>
                </w:tcPr>
                <w:p w14:paraId="5922AE22" w14:textId="77777777" w:rsidR="00A46417" w:rsidRPr="00650BD4" w:rsidRDefault="00A46417" w:rsidP="005A7B0A">
                  <w:pPr>
                    <w:snapToGrid w:val="0"/>
                    <w:spacing w:after="0"/>
                    <w:ind w:firstLine="450"/>
                    <w:jc w:val="center"/>
                    <w:rPr>
                      <w:rFonts w:cs="Times New Roman"/>
                      <w:b/>
                      <w:bCs/>
                      <w:sz w:val="18"/>
                      <w:szCs w:val="21"/>
                    </w:rPr>
                  </w:pPr>
                  <w:r w:rsidRPr="00650BD4">
                    <w:rPr>
                      <w:rFonts w:cs="Times New Roman"/>
                      <w:b/>
                      <w:bCs/>
                      <w:sz w:val="18"/>
                      <w:szCs w:val="21"/>
                    </w:rPr>
                    <w:t>Anul 2024</w:t>
                  </w:r>
                </w:p>
              </w:tc>
            </w:tr>
            <w:tr w:rsidR="00650BD4" w:rsidRPr="00650BD4" w14:paraId="2AC8E251" w14:textId="77777777" w:rsidTr="00650BD4">
              <w:trPr>
                <w:trHeight w:val="85"/>
              </w:trPr>
              <w:tc>
                <w:tcPr>
                  <w:tcW w:w="481" w:type="dxa"/>
                  <w:vMerge/>
                  <w:tcBorders>
                    <w:top w:val="single" w:sz="2" w:space="0" w:color="000000"/>
                    <w:left w:val="single" w:sz="2" w:space="0" w:color="000000"/>
                    <w:bottom w:val="single" w:sz="2" w:space="0" w:color="000000"/>
                    <w:right w:val="single" w:sz="2" w:space="0" w:color="000000"/>
                  </w:tcBorders>
                  <w:noWrap/>
                  <w:vAlign w:val="center"/>
                </w:tcPr>
                <w:p w14:paraId="06774BF9" w14:textId="77777777" w:rsidR="00A46417" w:rsidRPr="00650BD4" w:rsidRDefault="00A46417" w:rsidP="005A7B0A">
                  <w:pPr>
                    <w:snapToGrid w:val="0"/>
                    <w:spacing w:after="0"/>
                    <w:ind w:right="-14"/>
                    <w:rPr>
                      <w:rFonts w:cs="Times New Roman"/>
                      <w:sz w:val="18"/>
                      <w:szCs w:val="21"/>
                    </w:rPr>
                  </w:pPr>
                </w:p>
              </w:tc>
              <w:tc>
                <w:tcPr>
                  <w:tcW w:w="3913" w:type="dxa"/>
                  <w:vMerge/>
                  <w:tcBorders>
                    <w:top w:val="single" w:sz="2" w:space="0" w:color="000000"/>
                    <w:left w:val="single" w:sz="2" w:space="0" w:color="000000"/>
                    <w:bottom w:val="single" w:sz="2" w:space="0" w:color="000000"/>
                    <w:right w:val="single" w:sz="2" w:space="0" w:color="000000"/>
                  </w:tcBorders>
                  <w:vAlign w:val="center"/>
                </w:tcPr>
                <w:p w14:paraId="29AA3CA4" w14:textId="77777777" w:rsidR="00A46417" w:rsidRPr="00650BD4" w:rsidRDefault="00A46417" w:rsidP="005A7B0A">
                  <w:pPr>
                    <w:snapToGrid w:val="0"/>
                    <w:spacing w:after="0"/>
                    <w:ind w:firstLine="450"/>
                    <w:rPr>
                      <w:rFonts w:cs="Times New Roman"/>
                      <w:b/>
                      <w:bCs/>
                      <w:sz w:val="18"/>
                      <w:szCs w:val="21"/>
                    </w:rPr>
                  </w:pPr>
                </w:p>
              </w:tc>
              <w:tc>
                <w:tcPr>
                  <w:tcW w:w="1418" w:type="dxa"/>
                  <w:vMerge/>
                  <w:tcBorders>
                    <w:top w:val="single" w:sz="2" w:space="0" w:color="000000"/>
                    <w:left w:val="single" w:sz="2" w:space="0" w:color="000000"/>
                    <w:bottom w:val="single" w:sz="2" w:space="0" w:color="000000"/>
                    <w:right w:val="single" w:sz="2" w:space="0" w:color="000000"/>
                  </w:tcBorders>
                  <w:vAlign w:val="center"/>
                </w:tcPr>
                <w:p w14:paraId="02E5275D" w14:textId="77777777" w:rsidR="00A46417" w:rsidRPr="00650BD4" w:rsidRDefault="00A46417" w:rsidP="005A7B0A">
                  <w:pPr>
                    <w:snapToGrid w:val="0"/>
                    <w:spacing w:after="0"/>
                    <w:ind w:firstLine="450"/>
                    <w:rPr>
                      <w:rFonts w:cs="Times New Roman"/>
                      <w:b/>
                      <w:bCs/>
                      <w:sz w:val="18"/>
                      <w:szCs w:val="21"/>
                    </w:rPr>
                  </w:pPr>
                </w:p>
              </w:tc>
              <w:tc>
                <w:tcPr>
                  <w:tcW w:w="1240" w:type="dxa"/>
                  <w:tcBorders>
                    <w:top w:val="single" w:sz="2" w:space="0" w:color="000000"/>
                    <w:left w:val="single" w:sz="2" w:space="0" w:color="000000"/>
                    <w:bottom w:val="single" w:sz="2" w:space="0" w:color="000000"/>
                    <w:right w:val="single" w:sz="2" w:space="0" w:color="000000"/>
                  </w:tcBorders>
                  <w:vAlign w:val="center"/>
                </w:tcPr>
                <w:p w14:paraId="74BDF13C" w14:textId="38F26903" w:rsidR="00A46417" w:rsidRPr="00650BD4" w:rsidRDefault="00A46417" w:rsidP="005A7B0A">
                  <w:pPr>
                    <w:snapToGrid w:val="0"/>
                    <w:spacing w:after="0"/>
                    <w:jc w:val="center"/>
                    <w:rPr>
                      <w:rFonts w:cs="Times New Roman"/>
                      <w:b/>
                      <w:bCs/>
                      <w:sz w:val="18"/>
                      <w:szCs w:val="21"/>
                    </w:rPr>
                  </w:pPr>
                  <w:r w:rsidRPr="00650BD4">
                    <w:rPr>
                      <w:b/>
                      <w:sz w:val="18"/>
                      <w:szCs w:val="21"/>
                    </w:rPr>
                    <w:t>volum, m</w:t>
                  </w:r>
                  <w:r w:rsidRPr="00650BD4">
                    <w:rPr>
                      <w:b/>
                      <w:sz w:val="18"/>
                      <w:szCs w:val="21"/>
                      <w:vertAlign w:val="superscript"/>
                    </w:rPr>
                    <w:t>3</w:t>
                  </w:r>
                </w:p>
              </w:tc>
              <w:tc>
                <w:tcPr>
                  <w:tcW w:w="1559" w:type="dxa"/>
                  <w:tcBorders>
                    <w:top w:val="single" w:sz="2" w:space="0" w:color="000000"/>
                    <w:left w:val="single" w:sz="2" w:space="0" w:color="000000"/>
                    <w:bottom w:val="single" w:sz="2" w:space="0" w:color="000000"/>
                    <w:right w:val="single" w:sz="2" w:space="0" w:color="000000"/>
                  </w:tcBorders>
                  <w:vAlign w:val="center"/>
                </w:tcPr>
                <w:p w14:paraId="35DC88D4" w14:textId="2C4F8C80" w:rsidR="00A46417" w:rsidRPr="00650BD4" w:rsidRDefault="00C92847" w:rsidP="005A7B0A">
                  <w:pPr>
                    <w:snapToGrid w:val="0"/>
                    <w:spacing w:after="0"/>
                    <w:jc w:val="center"/>
                    <w:rPr>
                      <w:rFonts w:cs="Times New Roman"/>
                      <w:b/>
                      <w:bCs/>
                      <w:sz w:val="18"/>
                      <w:szCs w:val="21"/>
                    </w:rPr>
                  </w:pPr>
                  <w:r w:rsidRPr="00650BD4">
                    <w:rPr>
                      <w:rFonts w:cs="Times New Roman"/>
                      <w:b/>
                      <w:bCs/>
                      <w:sz w:val="18"/>
                      <w:szCs w:val="21"/>
                    </w:rPr>
                    <w:t>Nr.</w:t>
                  </w:r>
                  <w:r w:rsidR="00781056" w:rsidRPr="00650BD4">
                    <w:rPr>
                      <w:rFonts w:cs="Times New Roman"/>
                      <w:b/>
                      <w:bCs/>
                      <w:sz w:val="18"/>
                      <w:szCs w:val="21"/>
                    </w:rPr>
                    <w:t xml:space="preserve"> </w:t>
                  </w:r>
                  <w:r w:rsidR="00A46417" w:rsidRPr="00650BD4">
                    <w:rPr>
                      <w:rFonts w:cs="Times New Roman"/>
                      <w:b/>
                      <w:bCs/>
                      <w:sz w:val="18"/>
                      <w:szCs w:val="21"/>
                    </w:rPr>
                    <w:t>consumatori</w:t>
                  </w:r>
                </w:p>
              </w:tc>
            </w:tr>
            <w:tr w:rsidR="00650BD4" w:rsidRPr="00650BD4" w14:paraId="384040EC" w14:textId="77777777" w:rsidTr="00650BD4">
              <w:trPr>
                <w:trHeight w:val="265"/>
              </w:trPr>
              <w:tc>
                <w:tcPr>
                  <w:tcW w:w="481" w:type="dxa"/>
                  <w:tcBorders>
                    <w:top w:val="single" w:sz="2" w:space="0" w:color="000000"/>
                    <w:left w:val="single" w:sz="2" w:space="0" w:color="000000"/>
                    <w:bottom w:val="single" w:sz="2" w:space="0" w:color="000000"/>
                    <w:right w:val="single" w:sz="2" w:space="0" w:color="000000"/>
                  </w:tcBorders>
                  <w:noWrap/>
                  <w:vAlign w:val="center"/>
                </w:tcPr>
                <w:p w14:paraId="29A2B10C" w14:textId="77777777" w:rsidR="00A46417" w:rsidRPr="00650BD4" w:rsidRDefault="00A46417" w:rsidP="005A7B0A">
                  <w:pPr>
                    <w:snapToGrid w:val="0"/>
                    <w:spacing w:after="0"/>
                    <w:ind w:right="-14"/>
                    <w:rPr>
                      <w:rFonts w:cs="Times New Roman"/>
                      <w:sz w:val="18"/>
                      <w:szCs w:val="21"/>
                    </w:rPr>
                  </w:pPr>
                  <w:r w:rsidRPr="00650BD4">
                    <w:rPr>
                      <w:rFonts w:cs="Times New Roman"/>
                      <w:sz w:val="18"/>
                      <w:szCs w:val="21"/>
                    </w:rPr>
                    <w:t>1</w:t>
                  </w:r>
                </w:p>
              </w:tc>
              <w:tc>
                <w:tcPr>
                  <w:tcW w:w="3913" w:type="dxa"/>
                  <w:tcBorders>
                    <w:top w:val="single" w:sz="2" w:space="0" w:color="000000"/>
                    <w:left w:val="single" w:sz="2" w:space="0" w:color="000000"/>
                    <w:bottom w:val="single" w:sz="2" w:space="0" w:color="000000"/>
                    <w:right w:val="single" w:sz="2" w:space="0" w:color="000000"/>
                  </w:tcBorders>
                  <w:vAlign w:val="center"/>
                </w:tcPr>
                <w:p w14:paraId="616EDCB8" w14:textId="7A33D202" w:rsidR="00A46417" w:rsidRPr="00650BD4" w:rsidRDefault="00A46417" w:rsidP="005A7B0A">
                  <w:pPr>
                    <w:snapToGrid w:val="0"/>
                    <w:spacing w:after="0"/>
                    <w:rPr>
                      <w:rFonts w:cs="Times New Roman"/>
                      <w:b/>
                      <w:bCs/>
                      <w:sz w:val="18"/>
                      <w:szCs w:val="21"/>
                    </w:rPr>
                  </w:pPr>
                  <w:r w:rsidRPr="00650BD4">
                    <w:rPr>
                      <w:rFonts w:cs="Times New Roman"/>
                      <w:b/>
                      <w:bCs/>
                      <w:sz w:val="18"/>
                      <w:szCs w:val="21"/>
                    </w:rPr>
                    <w:t>noncasnici mici</w:t>
                  </w:r>
                </w:p>
              </w:tc>
              <w:tc>
                <w:tcPr>
                  <w:tcW w:w="1418" w:type="dxa"/>
                  <w:tcBorders>
                    <w:top w:val="single" w:sz="2" w:space="0" w:color="000000"/>
                    <w:left w:val="single" w:sz="2" w:space="0" w:color="000000"/>
                    <w:bottom w:val="single" w:sz="2" w:space="0" w:color="000000"/>
                    <w:right w:val="single" w:sz="2" w:space="0" w:color="000000"/>
                  </w:tcBorders>
                  <w:vAlign w:val="center"/>
                </w:tcPr>
                <w:p w14:paraId="77070FB7" w14:textId="4643FFC5" w:rsidR="00A46417" w:rsidRPr="00650BD4" w:rsidRDefault="00A46417" w:rsidP="005A7B0A">
                  <w:pPr>
                    <w:snapToGrid w:val="0"/>
                    <w:spacing w:after="0"/>
                    <w:rPr>
                      <w:rFonts w:cs="Times New Roman"/>
                      <w:sz w:val="18"/>
                      <w:szCs w:val="21"/>
                    </w:rPr>
                  </w:pPr>
                  <w:r w:rsidRPr="00650BD4">
                    <w:rPr>
                      <w:rFonts w:cs="Times New Roman"/>
                      <w:sz w:val="18"/>
                      <w:szCs w:val="21"/>
                    </w:rPr>
                    <w:t>până la 10 000</w:t>
                  </w:r>
                </w:p>
              </w:tc>
              <w:tc>
                <w:tcPr>
                  <w:tcW w:w="1240" w:type="dxa"/>
                  <w:tcBorders>
                    <w:top w:val="single" w:sz="2" w:space="0" w:color="000000"/>
                    <w:left w:val="single" w:sz="2" w:space="0" w:color="000000"/>
                    <w:bottom w:val="single" w:sz="2" w:space="0" w:color="000000"/>
                    <w:right w:val="single" w:sz="2" w:space="0" w:color="000000"/>
                  </w:tcBorders>
                  <w:noWrap/>
                  <w:vAlign w:val="center"/>
                </w:tcPr>
                <w:p w14:paraId="64F2D6D7"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16 572 817</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5328DD95" w14:textId="77777777" w:rsidR="00A46417" w:rsidRPr="00650BD4" w:rsidRDefault="00A46417" w:rsidP="005A7B0A">
                  <w:pPr>
                    <w:snapToGrid w:val="0"/>
                    <w:spacing w:after="0"/>
                    <w:jc w:val="center"/>
                    <w:rPr>
                      <w:rFonts w:cs="Times New Roman"/>
                      <w:b/>
                      <w:bCs/>
                      <w:sz w:val="18"/>
                      <w:szCs w:val="21"/>
                    </w:rPr>
                  </w:pPr>
                  <w:r w:rsidRPr="00650BD4">
                    <w:rPr>
                      <w:rFonts w:cs="Times New Roman"/>
                      <w:b/>
                      <w:bCs/>
                      <w:sz w:val="18"/>
                      <w:szCs w:val="21"/>
                    </w:rPr>
                    <w:t>8 345</w:t>
                  </w:r>
                </w:p>
              </w:tc>
            </w:tr>
            <w:tr w:rsidR="00650BD4" w:rsidRPr="00650BD4" w14:paraId="34234907" w14:textId="77777777" w:rsidTr="00650BD4">
              <w:trPr>
                <w:trHeight w:val="168"/>
              </w:trPr>
              <w:tc>
                <w:tcPr>
                  <w:tcW w:w="481" w:type="dxa"/>
                  <w:vMerge w:val="restart"/>
                  <w:tcBorders>
                    <w:top w:val="single" w:sz="2" w:space="0" w:color="000000"/>
                    <w:left w:val="single" w:sz="2" w:space="0" w:color="000000"/>
                    <w:bottom w:val="single" w:sz="2" w:space="0" w:color="000000"/>
                    <w:right w:val="single" w:sz="2" w:space="0" w:color="000000"/>
                  </w:tcBorders>
                  <w:noWrap/>
                  <w:vAlign w:val="center"/>
                </w:tcPr>
                <w:p w14:paraId="0802C3FC" w14:textId="77777777" w:rsidR="00A46417" w:rsidRPr="00650BD4" w:rsidRDefault="00A46417" w:rsidP="005A7B0A">
                  <w:pPr>
                    <w:snapToGrid w:val="0"/>
                    <w:spacing w:after="0"/>
                    <w:ind w:right="-14"/>
                    <w:rPr>
                      <w:rFonts w:cs="Times New Roman"/>
                      <w:sz w:val="18"/>
                      <w:szCs w:val="21"/>
                    </w:rPr>
                  </w:pPr>
                  <w:r w:rsidRPr="00650BD4">
                    <w:rPr>
                      <w:rFonts w:cs="Times New Roman"/>
                      <w:sz w:val="18"/>
                      <w:szCs w:val="21"/>
                    </w:rPr>
                    <w:t>2</w:t>
                  </w:r>
                </w:p>
              </w:tc>
              <w:tc>
                <w:tcPr>
                  <w:tcW w:w="3913" w:type="dxa"/>
                  <w:tcBorders>
                    <w:top w:val="single" w:sz="2" w:space="0" w:color="000000"/>
                    <w:left w:val="single" w:sz="2" w:space="0" w:color="000000"/>
                    <w:bottom w:val="single" w:sz="2" w:space="0" w:color="000000"/>
                    <w:right w:val="single" w:sz="2" w:space="0" w:color="000000"/>
                  </w:tcBorders>
                  <w:vAlign w:val="center"/>
                </w:tcPr>
                <w:p w14:paraId="6D25603A" w14:textId="63898FA5" w:rsidR="00A46417" w:rsidRPr="00650BD4" w:rsidRDefault="00A46417" w:rsidP="005A7B0A">
                  <w:pPr>
                    <w:snapToGrid w:val="0"/>
                    <w:spacing w:after="0"/>
                    <w:rPr>
                      <w:rFonts w:cs="Times New Roman"/>
                      <w:b/>
                      <w:bCs/>
                      <w:sz w:val="18"/>
                      <w:szCs w:val="21"/>
                    </w:rPr>
                  </w:pPr>
                  <w:r w:rsidRPr="00650BD4">
                    <w:rPr>
                      <w:rFonts w:cs="Times New Roman"/>
                      <w:b/>
                      <w:bCs/>
                      <w:sz w:val="18"/>
                      <w:szCs w:val="21"/>
                    </w:rPr>
                    <w:t>noncasnici mijlocii</w:t>
                  </w:r>
                </w:p>
              </w:tc>
              <w:tc>
                <w:tcPr>
                  <w:tcW w:w="1418" w:type="dxa"/>
                  <w:vMerge w:val="restart"/>
                  <w:tcBorders>
                    <w:top w:val="single" w:sz="2" w:space="0" w:color="000000"/>
                    <w:left w:val="single" w:sz="2" w:space="0" w:color="000000"/>
                    <w:bottom w:val="single" w:sz="2" w:space="0" w:color="000000"/>
                    <w:right w:val="single" w:sz="2" w:space="0" w:color="000000"/>
                  </w:tcBorders>
                  <w:vAlign w:val="center"/>
                </w:tcPr>
                <w:p w14:paraId="554172DC" w14:textId="344ED939" w:rsidR="00A46417" w:rsidRPr="00650BD4" w:rsidRDefault="00A46417" w:rsidP="005A7B0A">
                  <w:pPr>
                    <w:snapToGrid w:val="0"/>
                    <w:spacing w:after="0"/>
                    <w:rPr>
                      <w:rFonts w:cs="Times New Roman"/>
                      <w:sz w:val="18"/>
                      <w:szCs w:val="21"/>
                    </w:rPr>
                  </w:pPr>
                  <w:r w:rsidRPr="00650BD4">
                    <w:rPr>
                      <w:rFonts w:cs="Times New Roman"/>
                      <w:sz w:val="18"/>
                      <w:szCs w:val="21"/>
                    </w:rPr>
                    <w:t>de la 10 000 - până la  100 000</w:t>
                  </w:r>
                </w:p>
              </w:tc>
              <w:tc>
                <w:tcPr>
                  <w:tcW w:w="1240" w:type="dxa"/>
                  <w:tcBorders>
                    <w:top w:val="single" w:sz="2" w:space="0" w:color="000000"/>
                    <w:left w:val="single" w:sz="2" w:space="0" w:color="000000"/>
                    <w:bottom w:val="single" w:sz="2" w:space="0" w:color="000000"/>
                    <w:right w:val="single" w:sz="2" w:space="0" w:color="000000"/>
                  </w:tcBorders>
                  <w:noWrap/>
                  <w:vAlign w:val="center"/>
                </w:tcPr>
                <w:p w14:paraId="4AE04427"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54 559 692</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18A36B08"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1 948</w:t>
                  </w:r>
                </w:p>
              </w:tc>
            </w:tr>
            <w:tr w:rsidR="00650BD4" w:rsidRPr="00650BD4" w14:paraId="760D301D" w14:textId="77777777" w:rsidTr="00650BD4">
              <w:trPr>
                <w:trHeight w:val="553"/>
              </w:trPr>
              <w:tc>
                <w:tcPr>
                  <w:tcW w:w="481" w:type="dxa"/>
                  <w:vMerge/>
                  <w:tcBorders>
                    <w:top w:val="single" w:sz="2" w:space="0" w:color="000000"/>
                    <w:left w:val="single" w:sz="2" w:space="0" w:color="000000"/>
                    <w:bottom w:val="single" w:sz="2" w:space="0" w:color="000000"/>
                    <w:right w:val="single" w:sz="2" w:space="0" w:color="000000"/>
                  </w:tcBorders>
                  <w:noWrap/>
                  <w:vAlign w:val="center"/>
                </w:tcPr>
                <w:p w14:paraId="525AD51E" w14:textId="77777777" w:rsidR="00A46417" w:rsidRPr="00650BD4" w:rsidRDefault="00A46417" w:rsidP="005A7B0A">
                  <w:pPr>
                    <w:snapToGrid w:val="0"/>
                    <w:spacing w:after="0"/>
                    <w:ind w:right="-14"/>
                    <w:rPr>
                      <w:rFonts w:cs="Times New Roman"/>
                      <w:sz w:val="18"/>
                      <w:szCs w:val="21"/>
                    </w:rPr>
                  </w:pPr>
                </w:p>
              </w:tc>
              <w:tc>
                <w:tcPr>
                  <w:tcW w:w="3913" w:type="dxa"/>
                  <w:tcBorders>
                    <w:top w:val="single" w:sz="2" w:space="0" w:color="000000"/>
                    <w:left w:val="single" w:sz="2" w:space="0" w:color="000000"/>
                    <w:bottom w:val="single" w:sz="2" w:space="0" w:color="000000"/>
                    <w:right w:val="single" w:sz="2" w:space="0" w:color="000000"/>
                  </w:tcBorders>
                  <w:vAlign w:val="center"/>
                </w:tcPr>
                <w:p w14:paraId="01AEC73B" w14:textId="77777777" w:rsidR="00A46417" w:rsidRPr="00650BD4" w:rsidRDefault="00A46417" w:rsidP="005A7B0A">
                  <w:pPr>
                    <w:snapToGrid w:val="0"/>
                    <w:spacing w:after="0"/>
                    <w:jc w:val="both"/>
                    <w:rPr>
                      <w:rFonts w:cs="Times New Roman"/>
                      <w:sz w:val="18"/>
                      <w:szCs w:val="21"/>
                    </w:rPr>
                  </w:pPr>
                  <w:r w:rsidRPr="00650BD4">
                    <w:rPr>
                      <w:rFonts w:cs="Times New Roman"/>
                      <w:sz w:val="18"/>
                      <w:szCs w:val="21"/>
                    </w:rPr>
                    <w:t>inclusiv întreprinderile și instituțiile care prestează servicii sociale esențiale</w:t>
                  </w:r>
                </w:p>
              </w:tc>
              <w:tc>
                <w:tcPr>
                  <w:tcW w:w="1418" w:type="dxa"/>
                  <w:vMerge/>
                  <w:tcBorders>
                    <w:top w:val="single" w:sz="2" w:space="0" w:color="000000"/>
                    <w:left w:val="single" w:sz="2" w:space="0" w:color="000000"/>
                    <w:bottom w:val="single" w:sz="2" w:space="0" w:color="000000"/>
                    <w:right w:val="single" w:sz="2" w:space="0" w:color="000000"/>
                  </w:tcBorders>
                  <w:vAlign w:val="center"/>
                </w:tcPr>
                <w:p w14:paraId="291DC20E" w14:textId="77777777" w:rsidR="00A46417" w:rsidRPr="00650BD4" w:rsidRDefault="00A46417" w:rsidP="005A7B0A">
                  <w:pPr>
                    <w:snapToGrid w:val="0"/>
                    <w:spacing w:after="0"/>
                    <w:ind w:firstLine="450"/>
                    <w:rPr>
                      <w:rFonts w:cs="Times New Roman"/>
                      <w:sz w:val="18"/>
                      <w:szCs w:val="21"/>
                    </w:rPr>
                  </w:pPr>
                </w:p>
              </w:tc>
              <w:tc>
                <w:tcPr>
                  <w:tcW w:w="1240" w:type="dxa"/>
                  <w:tcBorders>
                    <w:top w:val="single" w:sz="2" w:space="0" w:color="000000"/>
                    <w:left w:val="single" w:sz="2" w:space="0" w:color="000000"/>
                    <w:bottom w:val="single" w:sz="2" w:space="0" w:color="000000"/>
                    <w:right w:val="single" w:sz="2" w:space="0" w:color="000000"/>
                  </w:tcBorders>
                  <w:noWrap/>
                  <w:vAlign w:val="center"/>
                </w:tcPr>
                <w:p w14:paraId="75AA5F96"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30 904 760</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2421FFCB" w14:textId="77777777" w:rsidR="00A46417" w:rsidRPr="00650BD4" w:rsidRDefault="00A46417" w:rsidP="005A7B0A">
                  <w:pPr>
                    <w:snapToGrid w:val="0"/>
                    <w:spacing w:after="0"/>
                    <w:jc w:val="center"/>
                    <w:rPr>
                      <w:rFonts w:cs="Times New Roman"/>
                      <w:b/>
                      <w:bCs/>
                      <w:sz w:val="18"/>
                      <w:szCs w:val="21"/>
                    </w:rPr>
                  </w:pPr>
                  <w:r w:rsidRPr="00650BD4">
                    <w:rPr>
                      <w:rFonts w:cs="Times New Roman"/>
                      <w:b/>
                      <w:bCs/>
                      <w:sz w:val="18"/>
                      <w:szCs w:val="21"/>
                    </w:rPr>
                    <w:t>1 164</w:t>
                  </w:r>
                </w:p>
              </w:tc>
            </w:tr>
            <w:tr w:rsidR="00650BD4" w:rsidRPr="00650BD4" w14:paraId="022AEBDA" w14:textId="77777777" w:rsidTr="00650BD4">
              <w:trPr>
                <w:trHeight w:val="58"/>
              </w:trPr>
              <w:tc>
                <w:tcPr>
                  <w:tcW w:w="481" w:type="dxa"/>
                  <w:vMerge w:val="restart"/>
                  <w:tcBorders>
                    <w:top w:val="single" w:sz="2" w:space="0" w:color="000000"/>
                    <w:left w:val="single" w:sz="2" w:space="0" w:color="000000"/>
                    <w:bottom w:val="single" w:sz="2" w:space="0" w:color="000000"/>
                    <w:right w:val="single" w:sz="2" w:space="0" w:color="000000"/>
                  </w:tcBorders>
                  <w:noWrap/>
                  <w:vAlign w:val="center"/>
                </w:tcPr>
                <w:p w14:paraId="1E559C71" w14:textId="77777777" w:rsidR="00A46417" w:rsidRPr="00650BD4" w:rsidRDefault="00A46417" w:rsidP="005A7B0A">
                  <w:pPr>
                    <w:snapToGrid w:val="0"/>
                    <w:spacing w:after="0"/>
                    <w:ind w:right="-14"/>
                    <w:rPr>
                      <w:rFonts w:cs="Times New Roman"/>
                      <w:sz w:val="18"/>
                      <w:szCs w:val="21"/>
                    </w:rPr>
                  </w:pPr>
                  <w:r w:rsidRPr="00650BD4">
                    <w:rPr>
                      <w:rFonts w:cs="Times New Roman"/>
                      <w:sz w:val="18"/>
                      <w:szCs w:val="21"/>
                    </w:rPr>
                    <w:t>3</w:t>
                  </w:r>
                </w:p>
              </w:tc>
              <w:tc>
                <w:tcPr>
                  <w:tcW w:w="3913" w:type="dxa"/>
                  <w:tcBorders>
                    <w:top w:val="single" w:sz="2" w:space="0" w:color="000000"/>
                    <w:left w:val="single" w:sz="2" w:space="0" w:color="000000"/>
                    <w:bottom w:val="single" w:sz="2" w:space="0" w:color="000000"/>
                    <w:right w:val="single" w:sz="2" w:space="0" w:color="000000"/>
                  </w:tcBorders>
                  <w:vAlign w:val="center"/>
                </w:tcPr>
                <w:p w14:paraId="555F6FA5" w14:textId="77777777" w:rsidR="00A46417" w:rsidRPr="00650BD4" w:rsidRDefault="00A46417" w:rsidP="005A7B0A">
                  <w:pPr>
                    <w:snapToGrid w:val="0"/>
                    <w:spacing w:after="0"/>
                    <w:jc w:val="both"/>
                    <w:rPr>
                      <w:rFonts w:cs="Times New Roman"/>
                      <w:b/>
                      <w:bCs/>
                      <w:sz w:val="18"/>
                      <w:szCs w:val="21"/>
                    </w:rPr>
                  </w:pPr>
                  <w:r w:rsidRPr="00650BD4">
                    <w:rPr>
                      <w:rFonts w:cs="Times New Roman"/>
                      <w:b/>
                      <w:bCs/>
                      <w:sz w:val="18"/>
                      <w:szCs w:val="21"/>
                    </w:rPr>
                    <w:t>Consumatori noncasnici mari</w:t>
                  </w:r>
                </w:p>
              </w:tc>
              <w:tc>
                <w:tcPr>
                  <w:tcW w:w="1418" w:type="dxa"/>
                  <w:vMerge w:val="restart"/>
                  <w:tcBorders>
                    <w:top w:val="single" w:sz="2" w:space="0" w:color="000000"/>
                    <w:left w:val="single" w:sz="2" w:space="0" w:color="000000"/>
                    <w:bottom w:val="single" w:sz="2" w:space="0" w:color="000000"/>
                    <w:right w:val="single" w:sz="2" w:space="0" w:color="000000"/>
                  </w:tcBorders>
                  <w:vAlign w:val="center"/>
                </w:tcPr>
                <w:p w14:paraId="59EEB38B" w14:textId="40054AF4" w:rsidR="00A46417" w:rsidRPr="00650BD4" w:rsidRDefault="00A46417" w:rsidP="005A7B0A">
                  <w:pPr>
                    <w:snapToGrid w:val="0"/>
                    <w:spacing w:after="0"/>
                    <w:rPr>
                      <w:rFonts w:cs="Times New Roman"/>
                      <w:sz w:val="18"/>
                      <w:szCs w:val="21"/>
                    </w:rPr>
                  </w:pPr>
                  <w:r w:rsidRPr="00650BD4">
                    <w:rPr>
                      <w:rFonts w:cs="Times New Roman"/>
                      <w:sz w:val="18"/>
                      <w:szCs w:val="21"/>
                    </w:rPr>
                    <w:t>peste 100 000</w:t>
                  </w:r>
                </w:p>
              </w:tc>
              <w:tc>
                <w:tcPr>
                  <w:tcW w:w="1240" w:type="dxa"/>
                  <w:tcBorders>
                    <w:top w:val="single" w:sz="2" w:space="0" w:color="000000"/>
                    <w:left w:val="single" w:sz="2" w:space="0" w:color="000000"/>
                    <w:bottom w:val="single" w:sz="2" w:space="0" w:color="000000"/>
                    <w:right w:val="single" w:sz="2" w:space="0" w:color="000000"/>
                  </w:tcBorders>
                  <w:noWrap/>
                  <w:vAlign w:val="center"/>
                </w:tcPr>
                <w:p w14:paraId="356AB5DC"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519 169 549</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59CF9502" w14:textId="77777777" w:rsidR="00A46417" w:rsidRPr="00650BD4" w:rsidRDefault="00A46417" w:rsidP="005A7B0A">
                  <w:pPr>
                    <w:snapToGrid w:val="0"/>
                    <w:spacing w:after="0"/>
                    <w:jc w:val="center"/>
                    <w:rPr>
                      <w:rFonts w:cs="Times New Roman"/>
                      <w:b/>
                      <w:bCs/>
                      <w:sz w:val="18"/>
                      <w:szCs w:val="21"/>
                    </w:rPr>
                  </w:pPr>
                  <w:r w:rsidRPr="00650BD4">
                    <w:rPr>
                      <w:rFonts w:cs="Times New Roman"/>
                      <w:b/>
                      <w:bCs/>
                      <w:sz w:val="18"/>
                      <w:szCs w:val="21"/>
                    </w:rPr>
                    <w:t>269</w:t>
                  </w:r>
                </w:p>
              </w:tc>
            </w:tr>
            <w:tr w:rsidR="00650BD4" w:rsidRPr="00650BD4" w14:paraId="1328FAA3" w14:textId="77777777" w:rsidTr="00650BD4">
              <w:trPr>
                <w:trHeight w:val="170"/>
              </w:trPr>
              <w:tc>
                <w:tcPr>
                  <w:tcW w:w="481" w:type="dxa"/>
                  <w:vMerge/>
                  <w:tcBorders>
                    <w:top w:val="single" w:sz="2" w:space="0" w:color="000000"/>
                    <w:left w:val="single" w:sz="2" w:space="0" w:color="000000"/>
                    <w:bottom w:val="single" w:sz="2" w:space="0" w:color="000000"/>
                    <w:right w:val="single" w:sz="2" w:space="0" w:color="000000"/>
                  </w:tcBorders>
                  <w:noWrap/>
                  <w:vAlign w:val="center"/>
                </w:tcPr>
                <w:p w14:paraId="53E627B3" w14:textId="77777777" w:rsidR="00A46417" w:rsidRPr="00650BD4" w:rsidRDefault="00A46417" w:rsidP="005A7B0A">
                  <w:pPr>
                    <w:snapToGrid w:val="0"/>
                    <w:spacing w:after="0"/>
                    <w:ind w:firstLine="450"/>
                    <w:rPr>
                      <w:rFonts w:cs="Times New Roman"/>
                      <w:sz w:val="18"/>
                      <w:szCs w:val="21"/>
                    </w:rPr>
                  </w:pPr>
                </w:p>
              </w:tc>
              <w:tc>
                <w:tcPr>
                  <w:tcW w:w="3913" w:type="dxa"/>
                  <w:tcBorders>
                    <w:top w:val="single" w:sz="2" w:space="0" w:color="000000"/>
                    <w:left w:val="single" w:sz="2" w:space="0" w:color="000000"/>
                    <w:bottom w:val="single" w:sz="2" w:space="0" w:color="000000"/>
                    <w:right w:val="single" w:sz="2" w:space="0" w:color="000000"/>
                  </w:tcBorders>
                  <w:vAlign w:val="center"/>
                </w:tcPr>
                <w:p w14:paraId="3F8DD77E" w14:textId="77777777" w:rsidR="00A46417" w:rsidRPr="00650BD4" w:rsidRDefault="00A46417" w:rsidP="005A7B0A">
                  <w:pPr>
                    <w:snapToGrid w:val="0"/>
                    <w:spacing w:after="0"/>
                    <w:jc w:val="both"/>
                    <w:rPr>
                      <w:rFonts w:cs="Times New Roman"/>
                      <w:sz w:val="18"/>
                      <w:szCs w:val="21"/>
                    </w:rPr>
                  </w:pPr>
                  <w:r w:rsidRPr="00650BD4">
                    <w:rPr>
                      <w:rFonts w:cs="Times New Roman"/>
                      <w:sz w:val="18"/>
                      <w:szCs w:val="21"/>
                    </w:rPr>
                    <w:t>inclusiv întreprinderile și instituțiile care prestează servicii sociale esențiale</w:t>
                  </w:r>
                </w:p>
              </w:tc>
              <w:tc>
                <w:tcPr>
                  <w:tcW w:w="1418" w:type="dxa"/>
                  <w:vMerge/>
                  <w:tcBorders>
                    <w:top w:val="single" w:sz="2" w:space="0" w:color="000000"/>
                    <w:left w:val="single" w:sz="2" w:space="0" w:color="000000"/>
                    <w:bottom w:val="single" w:sz="2" w:space="0" w:color="000000"/>
                    <w:right w:val="single" w:sz="2" w:space="0" w:color="000000"/>
                  </w:tcBorders>
                  <w:vAlign w:val="center"/>
                </w:tcPr>
                <w:p w14:paraId="3F90D1F8" w14:textId="77777777" w:rsidR="00A46417" w:rsidRPr="00650BD4" w:rsidRDefault="00A46417" w:rsidP="005A7B0A">
                  <w:pPr>
                    <w:snapToGrid w:val="0"/>
                    <w:spacing w:after="0"/>
                    <w:ind w:firstLine="450"/>
                    <w:rPr>
                      <w:rFonts w:cs="Times New Roman"/>
                      <w:sz w:val="18"/>
                      <w:szCs w:val="21"/>
                    </w:rPr>
                  </w:pPr>
                </w:p>
              </w:tc>
              <w:tc>
                <w:tcPr>
                  <w:tcW w:w="1240" w:type="dxa"/>
                  <w:tcBorders>
                    <w:top w:val="single" w:sz="2" w:space="0" w:color="000000"/>
                    <w:left w:val="single" w:sz="2" w:space="0" w:color="000000"/>
                    <w:bottom w:val="single" w:sz="2" w:space="0" w:color="000000"/>
                    <w:right w:val="single" w:sz="2" w:space="0" w:color="000000"/>
                  </w:tcBorders>
                  <w:noWrap/>
                  <w:vAlign w:val="center"/>
                </w:tcPr>
                <w:p w14:paraId="31D3DEBA"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13 329 615</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281451ED" w14:textId="77777777" w:rsidR="00A46417" w:rsidRPr="00650BD4" w:rsidRDefault="00A46417" w:rsidP="005A7B0A">
                  <w:pPr>
                    <w:snapToGrid w:val="0"/>
                    <w:spacing w:after="0"/>
                    <w:jc w:val="center"/>
                    <w:rPr>
                      <w:rFonts w:cs="Times New Roman"/>
                      <w:sz w:val="18"/>
                      <w:szCs w:val="21"/>
                    </w:rPr>
                  </w:pPr>
                  <w:r w:rsidRPr="00650BD4">
                    <w:rPr>
                      <w:rFonts w:cs="Times New Roman"/>
                      <w:sz w:val="18"/>
                      <w:szCs w:val="21"/>
                    </w:rPr>
                    <w:t>69</w:t>
                  </w:r>
                </w:p>
              </w:tc>
            </w:tr>
          </w:tbl>
          <w:p w14:paraId="0B188700" w14:textId="4BC28670" w:rsidR="00A46417" w:rsidRPr="00650BD4" w:rsidRDefault="00A46417" w:rsidP="005A7B0A">
            <w:pPr>
              <w:tabs>
                <w:tab w:val="left" w:pos="7088"/>
              </w:tabs>
              <w:snapToGrid w:val="0"/>
              <w:spacing w:line="276" w:lineRule="auto"/>
              <w:ind w:right="350" w:firstLine="486"/>
              <w:jc w:val="both"/>
              <w:rPr>
                <w:rFonts w:eastAsia="Times New Roman" w:cs="Times New Roman"/>
                <w:i/>
                <w:sz w:val="22"/>
              </w:rPr>
            </w:pPr>
            <w:r w:rsidRPr="00650BD4">
              <w:rPr>
                <w:rFonts w:eastAsia="Times New Roman" w:cs="Times New Roman"/>
                <w:i/>
                <w:sz w:val="22"/>
              </w:rPr>
              <w:t>*inclusiv volumele gazelor naturale utilizate de OSD pentru acoperirea consumurilor tehnologice și a pierderilor tehnice în rețelele de gaze naturale. (Sursa: Informație generalizată din rapoartele OS)</w:t>
            </w:r>
            <w:r w:rsidR="005A7B0A" w:rsidRPr="00650BD4">
              <w:rPr>
                <w:rFonts w:eastAsia="Times New Roman" w:cs="Times New Roman"/>
                <w:i/>
                <w:sz w:val="22"/>
              </w:rPr>
              <w:t>.</w:t>
            </w:r>
          </w:p>
          <w:p w14:paraId="7B8EFE5E" w14:textId="046F9DC0" w:rsidR="00781056" w:rsidRPr="00650BD4" w:rsidRDefault="00781056" w:rsidP="00781056">
            <w:pPr>
              <w:pStyle w:val="NormalWeb"/>
              <w:snapToGrid w:val="0"/>
              <w:spacing w:before="0" w:beforeAutospacing="0" w:after="0" w:afterAutospacing="0" w:line="276" w:lineRule="auto"/>
              <w:ind w:firstLine="450"/>
              <w:jc w:val="both"/>
              <w:rPr>
                <w:i/>
                <w:iCs/>
                <w:lang w:val="ro-RO"/>
              </w:rPr>
            </w:pPr>
            <w:r w:rsidRPr="00650BD4">
              <w:rPr>
                <w:lang w:val="ro-RO" w:eastAsia="zh-CN"/>
              </w:rPr>
              <w:t>I. Una din problemele care impune intervenția prin reglementare este</w:t>
            </w:r>
            <w:r w:rsidRPr="00650BD4">
              <w:rPr>
                <w:u w:val="single"/>
                <w:lang w:val="ro-RO" w:eastAsia="zh-CN"/>
              </w:rPr>
              <w:t xml:space="preserve"> </w:t>
            </w:r>
            <w:r w:rsidRPr="00650BD4">
              <w:rPr>
                <w:i/>
                <w:iCs/>
                <w:u w:val="single"/>
                <w:lang w:val="ro-RO" w:eastAsia="zh-CN"/>
              </w:rPr>
              <w:t>lipsa</w:t>
            </w:r>
            <w:r w:rsidRPr="00650BD4">
              <w:rPr>
                <w:rStyle w:val="Strong"/>
                <w:u w:val="single"/>
                <w:lang w:val="ro-RO"/>
              </w:rPr>
              <w:t xml:space="preserve"> </w:t>
            </w:r>
            <w:r w:rsidRPr="00650BD4">
              <w:rPr>
                <w:rStyle w:val="Strong"/>
                <w:b w:val="0"/>
                <w:bCs w:val="0"/>
                <w:i/>
                <w:iCs/>
                <w:u w:val="single"/>
                <w:lang w:val="ro-RO"/>
              </w:rPr>
              <w:t>normelor/</w:t>
            </w:r>
            <w:r w:rsidRPr="00650BD4">
              <w:rPr>
                <w:rStyle w:val="Strong"/>
                <w:b w:val="0"/>
                <w:bCs w:val="0"/>
                <w:u w:val="single"/>
                <w:lang w:val="ro-RO"/>
              </w:rPr>
              <w:t xml:space="preserve"> </w:t>
            </w:r>
            <w:r w:rsidRPr="00650BD4">
              <w:rPr>
                <w:rStyle w:val="Strong"/>
                <w:b w:val="0"/>
                <w:bCs w:val="0"/>
                <w:i/>
                <w:iCs/>
                <w:u w:val="single"/>
                <w:lang w:val="ro-RO"/>
              </w:rPr>
              <w:t>condițiilor specifice de furnizare a gazelor naturale</w:t>
            </w:r>
            <w:r w:rsidRPr="00650BD4">
              <w:rPr>
                <w:rStyle w:val="apple-converted-space"/>
                <w:i/>
                <w:iCs/>
                <w:u w:val="single"/>
                <w:lang w:val="ro-RO"/>
              </w:rPr>
              <w:t> </w:t>
            </w:r>
            <w:r w:rsidRPr="00650BD4">
              <w:rPr>
                <w:i/>
                <w:iCs/>
                <w:u w:val="single"/>
                <w:lang w:val="ro-RO"/>
              </w:rPr>
              <w:t>pentru categoriile de consumatori finali care nu mai au dreptul de a beneficia de furnizarea gazelor naturale la prețuri reglementate inclusiv aspecte privind tranziția acestora către piața concurențială, începând cu anul 2026</w:t>
            </w:r>
            <w:r w:rsidRPr="00650BD4">
              <w:rPr>
                <w:i/>
                <w:iCs/>
                <w:lang w:val="ro-RO"/>
              </w:rPr>
              <w:t>.</w:t>
            </w:r>
          </w:p>
          <w:p w14:paraId="1A77FFB4" w14:textId="653BB8AC" w:rsidR="00A46417" w:rsidRPr="00650BD4" w:rsidRDefault="00A46417" w:rsidP="00650BD4">
            <w:pPr>
              <w:snapToGrid w:val="0"/>
              <w:spacing w:line="276" w:lineRule="auto"/>
              <w:ind w:firstLine="450"/>
              <w:jc w:val="both"/>
              <w:rPr>
                <w:rFonts w:cs="Times New Roman"/>
                <w:szCs w:val="24"/>
              </w:rPr>
            </w:pPr>
            <w:r w:rsidRPr="00650BD4">
              <w:rPr>
                <w:rStyle w:val="Strong"/>
                <w:rFonts w:cs="Times New Roman"/>
                <w:b w:val="0"/>
                <w:szCs w:val="24"/>
              </w:rPr>
              <w:t>Conform</w:t>
            </w:r>
            <w:r w:rsidRPr="00650BD4">
              <w:rPr>
                <w:rStyle w:val="Strong"/>
                <w:rFonts w:cs="Times New Roman"/>
                <w:szCs w:val="24"/>
              </w:rPr>
              <w:t xml:space="preserve"> </w:t>
            </w:r>
            <w:r w:rsidRPr="00650BD4">
              <w:rPr>
                <w:rStyle w:val="Strong"/>
                <w:rFonts w:cs="Times New Roman"/>
                <w:b w:val="0"/>
                <w:bCs w:val="0"/>
                <w:iCs/>
                <w:szCs w:val="24"/>
              </w:rPr>
              <w:t>calendarului de liberalizare graduală a pieței de gaze naturale aprobat de ANRE</w:t>
            </w:r>
            <w:r w:rsidRPr="00650BD4">
              <w:rPr>
                <w:rStyle w:val="Strong"/>
                <w:rFonts w:cs="Times New Roman"/>
                <w:b w:val="0"/>
                <w:bCs w:val="0"/>
                <w:i/>
                <w:iCs/>
                <w:szCs w:val="24"/>
              </w:rPr>
              <w:t>,</w:t>
            </w:r>
            <w:r w:rsidRPr="00650BD4">
              <w:rPr>
                <w:rStyle w:val="Strong"/>
                <w:rFonts w:cs="Times New Roman"/>
                <w:szCs w:val="24"/>
              </w:rPr>
              <w:t xml:space="preserve"> </w:t>
            </w:r>
            <w:r w:rsidRPr="00650BD4">
              <w:rPr>
                <w:rFonts w:cs="Times New Roman"/>
                <w:szCs w:val="24"/>
              </w:rPr>
              <w:t xml:space="preserve">din </w:t>
            </w:r>
            <w:r w:rsidRPr="00650BD4">
              <w:rPr>
                <w:rFonts w:cs="Times New Roman"/>
                <w:i/>
                <w:szCs w:val="24"/>
              </w:rPr>
              <w:t>1 aprilie 2026</w:t>
            </w:r>
            <w:r w:rsidRPr="00650BD4">
              <w:rPr>
                <w:rFonts w:cs="Times New Roman"/>
                <w:szCs w:val="24"/>
              </w:rPr>
              <w:t xml:space="preserve">, consumatorii non-casnici mari vor fi obligați să intre pe piața liberă. </w:t>
            </w:r>
            <w:r w:rsidR="00781056" w:rsidRPr="00650BD4">
              <w:rPr>
                <w:rFonts w:cs="Times New Roman"/>
                <w:szCs w:val="24"/>
              </w:rPr>
              <w:t xml:space="preserve">A doua etapă </w:t>
            </w:r>
            <w:r w:rsidRPr="00650BD4">
              <w:rPr>
                <w:rFonts w:cs="Times New Roman"/>
                <w:szCs w:val="24"/>
              </w:rPr>
              <w:t xml:space="preserve">de liberalizare a pieței gazelor naturale și anume ieșirea în piața liberă a consumatorilor mijlocii, va avea loc începând cu </w:t>
            </w:r>
            <w:r w:rsidRPr="00650BD4">
              <w:rPr>
                <w:rFonts w:cs="Times New Roman"/>
                <w:i/>
                <w:szCs w:val="24"/>
              </w:rPr>
              <w:t>1 aprilie 2027</w:t>
            </w:r>
            <w:r w:rsidRPr="00650BD4">
              <w:rPr>
                <w:rFonts w:cs="Times New Roman"/>
                <w:szCs w:val="24"/>
              </w:rPr>
              <w:t>, după analiza experienței consumatorilor mari și inclusiv, după încheierea sezonului de încălzire.</w:t>
            </w:r>
            <w:r w:rsidR="00650BD4" w:rsidRPr="00650BD4">
              <w:rPr>
                <w:rFonts w:cs="Times New Roman"/>
                <w:szCs w:val="24"/>
              </w:rPr>
              <w:t xml:space="preserve"> C</w:t>
            </w:r>
            <w:r w:rsidRPr="00650BD4">
              <w:rPr>
                <w:rFonts w:cs="Times New Roman"/>
                <w:szCs w:val="24"/>
              </w:rPr>
              <w:t xml:space="preserve">onsumatorii casnici, consumatorii noncasnici mici, precum și </w:t>
            </w:r>
            <w:r w:rsidR="005A7B0A" w:rsidRPr="00650BD4">
              <w:rPr>
                <w:rFonts w:cs="Times New Roman"/>
                <w:szCs w:val="24"/>
              </w:rPr>
              <w:t>întreprinderile</w:t>
            </w:r>
            <w:r w:rsidRPr="00650BD4">
              <w:rPr>
                <w:rFonts w:cs="Times New Roman"/>
                <w:szCs w:val="24"/>
              </w:rPr>
              <w:t xml:space="preserve"> și </w:t>
            </w:r>
            <w:r w:rsidR="005A7B0A" w:rsidRPr="00650BD4">
              <w:rPr>
                <w:rFonts w:cs="Times New Roman"/>
                <w:szCs w:val="24"/>
              </w:rPr>
              <w:t>instituțiile</w:t>
            </w:r>
            <w:r w:rsidRPr="00650BD4">
              <w:rPr>
                <w:rFonts w:cs="Times New Roman"/>
                <w:szCs w:val="24"/>
              </w:rPr>
              <w:t xml:space="preserve"> care prestează servicii sociale esențiale vor avea dreptul de a fi </w:t>
            </w:r>
            <w:r w:rsidR="005A7B0A" w:rsidRPr="00650BD4">
              <w:rPr>
                <w:rFonts w:cs="Times New Roman"/>
                <w:szCs w:val="24"/>
              </w:rPr>
              <w:t>aprovizionați</w:t>
            </w:r>
            <w:r w:rsidRPr="00650BD4">
              <w:rPr>
                <w:rFonts w:cs="Times New Roman"/>
                <w:szCs w:val="24"/>
              </w:rPr>
              <w:t xml:space="preserve"> cu gaze naturale de către furnizorii cărora le-a fost impusă obligaţia de serviciu public </w:t>
            </w:r>
            <w:r w:rsidR="005A7B0A" w:rsidRPr="00650BD4">
              <w:rPr>
                <w:rFonts w:cs="Times New Roman"/>
                <w:szCs w:val="24"/>
              </w:rPr>
              <w:t>prevăzută</w:t>
            </w:r>
            <w:r w:rsidRPr="00650BD4">
              <w:rPr>
                <w:rFonts w:cs="Times New Roman"/>
                <w:szCs w:val="24"/>
              </w:rPr>
              <w:t>̆ la art. 89 din Legea nr. 108/2016.</w:t>
            </w:r>
          </w:p>
          <w:p w14:paraId="491E5031" w14:textId="66DF8AB6" w:rsidR="00781056" w:rsidRPr="00650BD4" w:rsidRDefault="00781056" w:rsidP="0041788D">
            <w:pPr>
              <w:tabs>
                <w:tab w:val="left" w:pos="567"/>
              </w:tabs>
              <w:snapToGrid w:val="0"/>
              <w:spacing w:before="120" w:line="276" w:lineRule="auto"/>
              <w:ind w:firstLine="446"/>
              <w:jc w:val="both"/>
              <w:rPr>
                <w:rFonts w:cs="Times New Roman"/>
                <w:szCs w:val="24"/>
              </w:rPr>
            </w:pPr>
            <w:r w:rsidRPr="00650BD4">
              <w:rPr>
                <w:rFonts w:eastAsia="Times New Roman" w:cs="Times New Roman"/>
                <w:szCs w:val="24"/>
              </w:rPr>
              <w:t xml:space="preserve">II. </w:t>
            </w:r>
            <w:r w:rsidR="00A46417" w:rsidRPr="00650BD4">
              <w:rPr>
                <w:rFonts w:eastAsia="Times New Roman" w:cs="Times New Roman"/>
                <w:szCs w:val="24"/>
              </w:rPr>
              <w:t xml:space="preserve">O barieră identificată în </w:t>
            </w:r>
            <w:r w:rsidR="00A46417" w:rsidRPr="00650BD4">
              <w:rPr>
                <w:rFonts w:cs="Times New Roman"/>
                <w:i/>
                <w:iCs/>
                <w:szCs w:val="24"/>
              </w:rPr>
              <w:t>Studiul de piață a gazelor naturale din Republica Moldova pentru anii 2022- 2023</w:t>
            </w:r>
            <w:r w:rsidR="00A46417" w:rsidRPr="00650BD4">
              <w:rPr>
                <w:rFonts w:cs="Times New Roman"/>
                <w:szCs w:val="24"/>
              </w:rPr>
              <w:t xml:space="preserve">, aprobat prin Hotărârea ANRE nr. 744/2024, </w:t>
            </w:r>
            <w:r w:rsidR="00A46417" w:rsidRPr="00650BD4">
              <w:rPr>
                <w:rFonts w:eastAsia="Times New Roman" w:cs="Times New Roman"/>
                <w:szCs w:val="24"/>
              </w:rPr>
              <w:t xml:space="preserve">este norma care stabilește că „fiecare consumator final are dreptul la alegerea liberă şi la schimbarea furnizorului, cu condiţia că şi-a onorat </w:t>
            </w:r>
            <w:r w:rsidR="005A7B0A" w:rsidRPr="00650BD4">
              <w:rPr>
                <w:rFonts w:eastAsia="Times New Roman" w:cs="Times New Roman"/>
                <w:szCs w:val="24"/>
              </w:rPr>
              <w:t>obligațiile</w:t>
            </w:r>
            <w:r w:rsidR="00A46417" w:rsidRPr="00650BD4">
              <w:rPr>
                <w:rFonts w:eastAsia="Times New Roman" w:cs="Times New Roman"/>
                <w:szCs w:val="24"/>
              </w:rPr>
              <w:t xml:space="preserve"> de plată a gazelor naturale consumate faţă de furnizorul actual”.</w:t>
            </w:r>
            <w:r w:rsidRPr="00650BD4">
              <w:rPr>
                <w:rFonts w:cs="Times New Roman"/>
                <w:szCs w:val="24"/>
              </w:rPr>
              <w:t xml:space="preserve"> </w:t>
            </w:r>
          </w:p>
          <w:p w14:paraId="66FCDF17" w14:textId="22034CD6" w:rsidR="00A46417" w:rsidRPr="00650BD4" w:rsidRDefault="00A46417" w:rsidP="0041788D">
            <w:pPr>
              <w:snapToGrid w:val="0"/>
              <w:spacing w:line="276" w:lineRule="auto"/>
              <w:ind w:firstLine="433"/>
              <w:jc w:val="both"/>
              <w:rPr>
                <w:rFonts w:eastAsia="Times New Roman" w:cs="Times New Roman"/>
                <w:b/>
                <w:szCs w:val="24"/>
              </w:rPr>
            </w:pPr>
            <w:r w:rsidRPr="00650BD4">
              <w:rPr>
                <w:rFonts w:eastAsia="Times New Roman" w:cs="Times New Roman"/>
                <w:szCs w:val="24"/>
              </w:rPr>
              <w:t xml:space="preserve">Existența datoriilor la locurile de consum ale consumatorului final </w:t>
            </w:r>
            <w:r w:rsidR="00781056" w:rsidRPr="00650BD4">
              <w:rPr>
                <w:rFonts w:eastAsia="Times New Roman" w:cs="Times New Roman"/>
                <w:szCs w:val="24"/>
              </w:rPr>
              <w:t>în prezent</w:t>
            </w:r>
            <w:r w:rsidRPr="00650BD4">
              <w:rPr>
                <w:rFonts w:eastAsia="Times New Roman" w:cs="Times New Roman"/>
                <w:szCs w:val="24"/>
              </w:rPr>
              <w:t xml:space="preserve"> constituie un impediment pentru schimbarea furnizorului de gaze naturale. </w:t>
            </w:r>
            <w:r w:rsidR="00781056" w:rsidRPr="00650BD4">
              <w:rPr>
                <w:rFonts w:cs="Times New Roman"/>
                <w:szCs w:val="24"/>
              </w:rPr>
              <w:t xml:space="preserve">Procedura de schimbare a furnizorului aprobată prin Regulamentul de schimbare a furnizorului urmează a fi adaptată la noile modificări din legislația primare (Legea nr. 152/2025). </w:t>
            </w:r>
            <w:r w:rsidRPr="00650BD4">
              <w:rPr>
                <w:rFonts w:eastAsia="Times New Roman" w:cs="Times New Roman"/>
                <w:szCs w:val="24"/>
              </w:rPr>
              <w:t xml:space="preserve">Dacă furnizorul actual nu lucrează cu consumatorul pentru a oferi posibilitatea achitărilor eșalonate sau parțiale a facturilor pentru gazele naturale sau acordă o atenție redusă consumatorului la achitarea facturilor pentru gazele naturale consumate, nu solicită de la operatorul de sistem deconectarea locului de consum, inacțiunea furnizorului generează acumularea datoriilor și constituie o barieră elocventă pentru schimbarea furnizorului. Lipsa de conlucrare a furnizorului actual cu consumatorul și acumularea restanțelor la plata facturilor sau generarea datoriilor cu acordul furnizorului actual, nu trebuie să fie un impediment legal pentru ca consumatorul final să poată schimba furnizorul care oferă un preț mai avantajos la gazele naturale. Subiectul achitării facturilor  pentru gazele naturale cu </w:t>
            </w:r>
            <w:r w:rsidRPr="00650BD4">
              <w:rPr>
                <w:rFonts w:eastAsia="Times New Roman" w:cs="Times New Roman"/>
                <w:szCs w:val="24"/>
              </w:rPr>
              <w:lastRenderedPageBreak/>
              <w:t>întârziere, a datoriilor și penalităților între părțile contractante se soluționează în instanța de judecată.</w:t>
            </w:r>
          </w:p>
          <w:p w14:paraId="77FABB80" w14:textId="54F15169" w:rsidR="00A46417" w:rsidRPr="00650BD4" w:rsidRDefault="00781056"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III. </w:t>
            </w:r>
            <w:r w:rsidR="00A46417" w:rsidRPr="00650BD4">
              <w:rPr>
                <w:rFonts w:eastAsia="Times New Roman" w:cs="Times New Roman"/>
                <w:szCs w:val="24"/>
              </w:rPr>
              <w:t xml:space="preserve">Altă barieră identificată în Studiu este prevederea care stabilește că </w:t>
            </w:r>
            <w:r w:rsidR="00A46417" w:rsidRPr="00650BD4">
              <w:rPr>
                <w:rFonts w:eastAsia="Times New Roman" w:cs="Times New Roman"/>
                <w:i/>
                <w:iCs/>
                <w:szCs w:val="24"/>
              </w:rPr>
              <w:t xml:space="preserve">„echipamentul de măsurare, montat la locul/locurile de consum al/ale consumatorului noncasnic care solicită schimbarea furnizorului, trebuie să permită înregistrarea orară a consumului de gaze naturale. În situaţia în care echipamentul de măsurare instalat la locul de consum al consumatorului noncasnic care </w:t>
            </w:r>
            <w:r w:rsidR="005A7B0A" w:rsidRPr="00650BD4">
              <w:rPr>
                <w:rFonts w:eastAsia="Times New Roman" w:cs="Times New Roman"/>
                <w:i/>
                <w:iCs/>
                <w:szCs w:val="24"/>
              </w:rPr>
              <w:t>intenționează</w:t>
            </w:r>
            <w:r w:rsidR="00A46417" w:rsidRPr="00650BD4">
              <w:rPr>
                <w:rFonts w:eastAsia="Times New Roman" w:cs="Times New Roman"/>
                <w:i/>
                <w:iCs/>
                <w:szCs w:val="24"/>
              </w:rPr>
              <w:t xml:space="preserve"> să schimbe furnizorul nu corespunde </w:t>
            </w:r>
            <w:r w:rsidR="005A7B0A" w:rsidRPr="00650BD4">
              <w:rPr>
                <w:rFonts w:eastAsia="Times New Roman" w:cs="Times New Roman"/>
                <w:i/>
                <w:iCs/>
                <w:szCs w:val="24"/>
              </w:rPr>
              <w:t>cerințelor</w:t>
            </w:r>
            <w:r w:rsidR="00A46417" w:rsidRPr="00650BD4">
              <w:rPr>
                <w:rFonts w:eastAsia="Times New Roman" w:cs="Times New Roman"/>
                <w:i/>
                <w:iCs/>
                <w:szCs w:val="24"/>
              </w:rPr>
              <w:t xml:space="preserve"> stabilite în Regulamentul privind măsurarea gazelor naturale în scopuri comerciale sau nu permite înregistrarea orară a consumului de gaze naturale, echipamentul de măsurare se </w:t>
            </w:r>
            <w:r w:rsidR="005A7B0A" w:rsidRPr="00650BD4">
              <w:rPr>
                <w:rFonts w:eastAsia="Times New Roman" w:cs="Times New Roman"/>
                <w:i/>
                <w:iCs/>
                <w:szCs w:val="24"/>
              </w:rPr>
              <w:t>înlocuiește</w:t>
            </w:r>
            <w:r w:rsidR="00A46417" w:rsidRPr="00650BD4">
              <w:rPr>
                <w:rFonts w:eastAsia="Times New Roman" w:cs="Times New Roman"/>
                <w:i/>
                <w:iCs/>
                <w:szCs w:val="24"/>
              </w:rPr>
              <w:t xml:space="preserve"> de către consumatorul noncasnic, pe cheltuiala sa, până la </w:t>
            </w:r>
            <w:r w:rsidR="005A7B0A" w:rsidRPr="00650BD4">
              <w:rPr>
                <w:rFonts w:eastAsia="Times New Roman" w:cs="Times New Roman"/>
                <w:i/>
                <w:iCs/>
                <w:szCs w:val="24"/>
              </w:rPr>
              <w:t>inițierea</w:t>
            </w:r>
            <w:r w:rsidR="00A46417" w:rsidRPr="00650BD4">
              <w:rPr>
                <w:rFonts w:eastAsia="Times New Roman" w:cs="Times New Roman"/>
                <w:i/>
                <w:iCs/>
                <w:szCs w:val="24"/>
              </w:rPr>
              <w:t xml:space="preserve"> procedurii de schimbare a furnizorului</w:t>
            </w:r>
            <w:r w:rsidR="00650BD4" w:rsidRPr="00650BD4">
              <w:rPr>
                <w:rFonts w:eastAsia="Times New Roman" w:cs="Times New Roman"/>
                <w:szCs w:val="24"/>
              </w:rPr>
              <w:t xml:space="preserve">.”. Legea </w:t>
            </w:r>
            <w:r w:rsidR="00A46417" w:rsidRPr="00650BD4">
              <w:rPr>
                <w:rFonts w:eastAsia="Times New Roman" w:cs="Times New Roman"/>
                <w:szCs w:val="24"/>
              </w:rPr>
              <w:t xml:space="preserve">stabilește că operatorii de sistem ţin </w:t>
            </w:r>
            <w:r w:rsidR="005A7B0A" w:rsidRPr="00650BD4">
              <w:rPr>
                <w:rFonts w:eastAsia="Times New Roman" w:cs="Times New Roman"/>
                <w:szCs w:val="24"/>
              </w:rPr>
              <w:t>evidența</w:t>
            </w:r>
            <w:r w:rsidR="00A46417" w:rsidRPr="00650BD4">
              <w:rPr>
                <w:rFonts w:eastAsia="Times New Roman" w:cs="Times New Roman"/>
                <w:szCs w:val="24"/>
              </w:rPr>
              <w:t xml:space="preserve"> gazelor naturale utilizând doar echipamente de măsurare care au fost introduse pe piaţă şi/sau date în </w:t>
            </w:r>
            <w:r w:rsidR="005A7B0A" w:rsidRPr="00650BD4">
              <w:rPr>
                <w:rFonts w:eastAsia="Times New Roman" w:cs="Times New Roman"/>
                <w:szCs w:val="24"/>
              </w:rPr>
              <w:t>folosință</w:t>
            </w:r>
            <w:r w:rsidR="00A46417" w:rsidRPr="00650BD4">
              <w:rPr>
                <w:rFonts w:eastAsia="Times New Roman" w:cs="Times New Roman"/>
                <w:szCs w:val="24"/>
              </w:rPr>
              <w:t xml:space="preserve"> în </w:t>
            </w:r>
            <w:r w:rsidR="005A7B0A" w:rsidRPr="00650BD4">
              <w:rPr>
                <w:rFonts w:eastAsia="Times New Roman" w:cs="Times New Roman"/>
                <w:szCs w:val="24"/>
              </w:rPr>
              <w:t>condițiile</w:t>
            </w:r>
            <w:r w:rsidR="00A46417" w:rsidRPr="00650BD4">
              <w:rPr>
                <w:rFonts w:eastAsia="Times New Roman" w:cs="Times New Roman"/>
                <w:szCs w:val="24"/>
              </w:rPr>
              <w:t xml:space="preserve"> </w:t>
            </w:r>
            <w:hyperlink r:id="rId8">
              <w:r w:rsidR="00A46417" w:rsidRPr="00650BD4">
                <w:rPr>
                  <w:rFonts w:eastAsia="Times New Roman" w:cs="Times New Roman"/>
                  <w:szCs w:val="24"/>
                </w:rPr>
                <w:t>Legii nr. 235/2011</w:t>
              </w:r>
            </w:hyperlink>
            <w:r w:rsidR="00A46417" w:rsidRPr="00650BD4">
              <w:rPr>
                <w:rFonts w:eastAsia="Times New Roman" w:cs="Times New Roman"/>
                <w:szCs w:val="24"/>
              </w:rPr>
              <w:t xml:space="preserve"> privind </w:t>
            </w:r>
            <w:r w:rsidR="005A7B0A" w:rsidRPr="00650BD4">
              <w:rPr>
                <w:rFonts w:eastAsia="Times New Roman" w:cs="Times New Roman"/>
                <w:szCs w:val="24"/>
              </w:rPr>
              <w:t>activitățile</w:t>
            </w:r>
            <w:r w:rsidR="00A46417" w:rsidRPr="00650BD4">
              <w:rPr>
                <w:rFonts w:eastAsia="Times New Roman" w:cs="Times New Roman"/>
                <w:szCs w:val="24"/>
              </w:rPr>
              <w:t xml:space="preserve"> de acreditare şi evaluare a </w:t>
            </w:r>
            <w:r w:rsidR="005A7B0A" w:rsidRPr="00650BD4">
              <w:rPr>
                <w:rFonts w:eastAsia="Times New Roman" w:cs="Times New Roman"/>
                <w:szCs w:val="24"/>
              </w:rPr>
              <w:t>conformității</w:t>
            </w:r>
            <w:r w:rsidR="00A46417" w:rsidRPr="00650BD4">
              <w:rPr>
                <w:rFonts w:eastAsia="Times New Roman" w:cs="Times New Roman"/>
                <w:szCs w:val="24"/>
              </w:rPr>
              <w:t xml:space="preserve"> şi care au fost supuse controlului metrologic legal conform </w:t>
            </w:r>
            <w:hyperlink r:id="rId9">
              <w:r w:rsidR="00A46417" w:rsidRPr="00650BD4">
                <w:rPr>
                  <w:rFonts w:eastAsia="Times New Roman" w:cs="Times New Roman"/>
                  <w:szCs w:val="24"/>
                </w:rPr>
                <w:t>Legii metrologiei nr. 19/2016</w:t>
              </w:r>
            </w:hyperlink>
            <w:r w:rsidR="00A46417" w:rsidRPr="00650BD4">
              <w:rPr>
                <w:rFonts w:eastAsia="Times New Roman" w:cs="Times New Roman"/>
                <w:szCs w:val="24"/>
              </w:rPr>
              <w:t xml:space="preserve">. La fel, operatorii de sistem efectuează lucrările de instalare, exploatare şi </w:t>
            </w:r>
            <w:r w:rsidR="005A7B0A" w:rsidRPr="00650BD4">
              <w:rPr>
                <w:rFonts w:eastAsia="Times New Roman" w:cs="Times New Roman"/>
                <w:szCs w:val="24"/>
              </w:rPr>
              <w:t>întreținere</w:t>
            </w:r>
            <w:r w:rsidR="00A46417" w:rsidRPr="00650BD4">
              <w:rPr>
                <w:rFonts w:eastAsia="Times New Roman" w:cs="Times New Roman"/>
                <w:szCs w:val="24"/>
              </w:rPr>
              <w:t xml:space="preserve"> a echipamentelor de măsurare ale consumatorilor finali </w:t>
            </w:r>
            <w:r w:rsidR="005A7B0A" w:rsidRPr="00650BD4">
              <w:rPr>
                <w:rFonts w:eastAsia="Times New Roman" w:cs="Times New Roman"/>
                <w:szCs w:val="24"/>
              </w:rPr>
              <w:t>racordați</w:t>
            </w:r>
            <w:r w:rsidR="00A46417" w:rsidRPr="00650BD4">
              <w:rPr>
                <w:rFonts w:eastAsia="Times New Roman" w:cs="Times New Roman"/>
                <w:szCs w:val="24"/>
              </w:rPr>
              <w:t xml:space="preserve"> la </w:t>
            </w:r>
            <w:r w:rsidR="005A7B0A" w:rsidRPr="00650BD4">
              <w:rPr>
                <w:rFonts w:eastAsia="Times New Roman" w:cs="Times New Roman"/>
                <w:szCs w:val="24"/>
              </w:rPr>
              <w:t>rețelele</w:t>
            </w:r>
            <w:r w:rsidR="00A46417" w:rsidRPr="00650BD4">
              <w:rPr>
                <w:rFonts w:eastAsia="Times New Roman" w:cs="Times New Roman"/>
                <w:szCs w:val="24"/>
              </w:rPr>
              <w:t xml:space="preserve"> lor de gaze naturale, de asemenea asigură efectuarea verificării metrologice a acestor echipamente. Totodată, facturarea costului serviciilor de distribuție a gazelor naturale se realizează în baza cantităților de gaze naturale livrate de către OSD. Respectiv, ANRE consideră că prevederile privind înregistrarea orară a consumului de gaze naturale de către echipamentul de măsurare și necesitatea înlocuirii acestuia de către consumatorul noncasnic, pe cheltuiala sa, până la iniţierea procedurii de schimbare a furnizorului sunt un impediment real la schimbarea furnizorului, deoarece în continuare operatorul de sistem va avea aceleași obligațiuni stabilite de lege în ținerea evidenței gazelor naturale, cât și realizarea lucrărilor de instalare, exploatare şi întreţinere a echipamentelor de măsurare ale consumatorilor finali racordaţi la reţelele lor de gaze naturale, furnizorul nefiind afectat nicicum.</w:t>
            </w:r>
          </w:p>
          <w:p w14:paraId="2B3C8C2A" w14:textId="1C44D9B0" w:rsidR="00A46417" w:rsidRPr="00650BD4" w:rsidRDefault="00781056" w:rsidP="0041788D">
            <w:pPr>
              <w:pStyle w:val="NormalWeb"/>
              <w:tabs>
                <w:tab w:val="left" w:pos="973"/>
              </w:tabs>
              <w:snapToGrid w:val="0"/>
              <w:spacing w:before="0" w:beforeAutospacing="0" w:after="0" w:afterAutospacing="0" w:line="276" w:lineRule="auto"/>
              <w:ind w:firstLine="450"/>
              <w:jc w:val="both"/>
              <w:rPr>
                <w:lang w:val="ro-RO"/>
              </w:rPr>
            </w:pPr>
            <w:r w:rsidRPr="00650BD4">
              <w:rPr>
                <w:lang w:val="ro-RO"/>
              </w:rPr>
              <w:t>VI.</w:t>
            </w:r>
            <w:r w:rsidR="00A46417" w:rsidRPr="00650BD4">
              <w:rPr>
                <w:lang w:val="ro-RO"/>
              </w:rPr>
              <w:tab/>
            </w:r>
            <w:r w:rsidRPr="00650BD4">
              <w:rPr>
                <w:lang w:val="ro-RO"/>
              </w:rPr>
              <w:t xml:space="preserve">Datorită fluctuațiilor prețurilor la gazele naturale pe piețele internaționale, furnizorii de gaze naturale din Republica Moldova și consumatorii finali, nu au experiența utilizării contractelor pe perioadă determinată și la preț fix. </w:t>
            </w:r>
            <w:r w:rsidR="00386A80" w:rsidRPr="00650BD4">
              <w:rPr>
                <w:lang w:val="ro-RO"/>
              </w:rPr>
              <w:t xml:space="preserve">În </w:t>
            </w:r>
            <w:r w:rsidR="00A46417" w:rsidRPr="00650BD4">
              <w:rPr>
                <w:rStyle w:val="Strong"/>
                <w:b w:val="0"/>
                <w:bCs w:val="0"/>
                <w:i/>
                <w:iCs/>
                <w:lang w:val="ro-RO"/>
              </w:rPr>
              <w:t>Regulament</w:t>
            </w:r>
            <w:r w:rsidR="00386A80" w:rsidRPr="00650BD4">
              <w:rPr>
                <w:rStyle w:val="Strong"/>
                <w:b w:val="0"/>
                <w:bCs w:val="0"/>
                <w:i/>
                <w:iCs/>
                <w:lang w:val="ro-RO"/>
              </w:rPr>
              <w:t>ul</w:t>
            </w:r>
            <w:r w:rsidR="00A46417" w:rsidRPr="00650BD4">
              <w:rPr>
                <w:rStyle w:val="Strong"/>
                <w:b w:val="0"/>
                <w:bCs w:val="0"/>
                <w:i/>
                <w:iCs/>
                <w:lang w:val="ro-RO"/>
              </w:rPr>
              <w:t xml:space="preserve"> </w:t>
            </w:r>
            <w:r w:rsidR="00386A80" w:rsidRPr="00650BD4">
              <w:rPr>
                <w:rStyle w:val="Strong"/>
                <w:b w:val="0"/>
                <w:bCs w:val="0"/>
                <w:i/>
                <w:iCs/>
                <w:lang w:val="ro-RO"/>
              </w:rPr>
              <w:t xml:space="preserve">pentru </w:t>
            </w:r>
            <w:r w:rsidR="00A46417" w:rsidRPr="00650BD4">
              <w:rPr>
                <w:rStyle w:val="Strong"/>
                <w:b w:val="0"/>
                <w:bCs w:val="0"/>
                <w:i/>
                <w:iCs/>
                <w:lang w:val="ro-RO"/>
              </w:rPr>
              <w:t>furnizarea gazelor naturale</w:t>
            </w:r>
            <w:r w:rsidR="00A46417" w:rsidRPr="00650BD4">
              <w:rPr>
                <w:i/>
                <w:iCs/>
                <w:lang w:val="ro-RO"/>
              </w:rPr>
              <w:t>, aprobat prin</w:t>
            </w:r>
            <w:r w:rsidR="00A46417" w:rsidRPr="00650BD4">
              <w:rPr>
                <w:rStyle w:val="apple-converted-space"/>
                <w:i/>
                <w:iCs/>
                <w:lang w:val="ro-RO"/>
              </w:rPr>
              <w:t> </w:t>
            </w:r>
            <w:r w:rsidR="00A46417" w:rsidRPr="00650BD4">
              <w:rPr>
                <w:rStyle w:val="Strong"/>
                <w:b w:val="0"/>
                <w:bCs w:val="0"/>
                <w:i/>
                <w:iCs/>
                <w:lang w:val="ro-RO"/>
              </w:rPr>
              <w:t>Hotărârea ANRE nr. 113/2019</w:t>
            </w:r>
            <w:r w:rsidR="00A46417" w:rsidRPr="00650BD4">
              <w:rPr>
                <w:i/>
                <w:iCs/>
                <w:lang w:val="ro-RO"/>
              </w:rPr>
              <w:t>,</w:t>
            </w:r>
            <w:r w:rsidR="00A46417" w:rsidRPr="00650BD4">
              <w:rPr>
                <w:rStyle w:val="apple-converted-space"/>
                <w:i/>
                <w:iCs/>
                <w:lang w:val="ro-RO"/>
              </w:rPr>
              <w:t> </w:t>
            </w:r>
            <w:r w:rsidR="00A46417" w:rsidRPr="00650BD4">
              <w:rPr>
                <w:rStyle w:val="Strong"/>
                <w:b w:val="0"/>
                <w:bCs w:val="0"/>
                <w:i/>
                <w:iCs/>
                <w:lang w:val="ro-RO"/>
              </w:rPr>
              <w:t>nu sunt reglementate în mod expres contractele de furnizare pe durată determinată și la preț fix</w:t>
            </w:r>
            <w:r w:rsidR="00A46417" w:rsidRPr="00650BD4">
              <w:rPr>
                <w:i/>
                <w:iCs/>
                <w:lang w:val="ro-RO"/>
              </w:rPr>
              <w:t>,</w:t>
            </w:r>
            <w:r w:rsidR="00A46417" w:rsidRPr="00650BD4">
              <w:rPr>
                <w:lang w:val="ro-RO"/>
              </w:rPr>
              <w:t xml:space="preserve"> ca tip distinct de produs comercial. Această lipsă de reglementare conduce la existența unor oferte neuniforme, dificil de comparat, și </w:t>
            </w:r>
            <w:r w:rsidR="00A46417" w:rsidRPr="00650BD4">
              <w:rPr>
                <w:i/>
                <w:iCs/>
                <w:lang w:val="ro-RO"/>
              </w:rPr>
              <w:t>limitează capacitatea consumatorilor finali de a lua decizii informate în procesul de alegere a furnizorului</w:t>
            </w:r>
            <w:r w:rsidR="00A46417" w:rsidRPr="00650BD4">
              <w:rPr>
                <w:lang w:val="ro-RO"/>
              </w:rPr>
              <w:t>.</w:t>
            </w:r>
          </w:p>
          <w:p w14:paraId="6FE972DE" w14:textId="41F9E7C0" w:rsidR="00A46417" w:rsidRPr="00650BD4" w:rsidRDefault="00A46417" w:rsidP="0041788D">
            <w:pPr>
              <w:pStyle w:val="NormalWeb"/>
              <w:snapToGrid w:val="0"/>
              <w:spacing w:before="0" w:beforeAutospacing="0" w:after="0" w:afterAutospacing="0" w:line="276" w:lineRule="auto"/>
              <w:ind w:firstLine="450"/>
              <w:jc w:val="both"/>
              <w:rPr>
                <w:lang w:val="ro-RO"/>
              </w:rPr>
            </w:pPr>
            <w:r w:rsidRPr="00650BD4">
              <w:rPr>
                <w:lang w:val="ro-RO"/>
              </w:rPr>
              <w:t>Lipsa unui produs contractual pe durată determinată și la preț fix împiedică furnizorii să își coreleze eficient strategiile de achiziție a gazelor naturale cu ofertele comerciale adresate consumatorilor finali, crescând expunerea la riscul de preț. În absența unui cadru reglementat pentru contracte pe durată determinată și la preț fix, furnizorii sunt constrânși să ofere produse comerciale pe termen scurt sau cu preț variabil, ceea ce limitează posibilitatea stabilizării portofoliului de consumatori și reduce predictibilitatea veniturilor.</w:t>
            </w:r>
          </w:p>
          <w:p w14:paraId="5A89EF62" w14:textId="4B8B94C5" w:rsidR="00A46417" w:rsidRPr="00650BD4" w:rsidRDefault="00A46417" w:rsidP="0041788D">
            <w:pPr>
              <w:pStyle w:val="NormalWeb"/>
              <w:snapToGrid w:val="0"/>
              <w:spacing w:before="0" w:beforeAutospacing="0" w:after="0" w:afterAutospacing="0" w:line="276" w:lineRule="auto"/>
              <w:jc w:val="both"/>
              <w:rPr>
                <w:lang w:val="ro-RO"/>
              </w:rPr>
            </w:pPr>
            <w:r w:rsidRPr="00650BD4">
              <w:rPr>
                <w:lang w:val="ro-RO"/>
              </w:rPr>
              <w:t xml:space="preserve">În absența unor reguli clare privind condițiile de modificare, încetare și rezoluțiune a contractelor pe durată determinată și la preț fix, furnizorii se confruntă cu un grad ridicat de incertitudine juridică, inclusiv cu riscul de reziliere </w:t>
            </w:r>
            <w:r w:rsidR="00C92847" w:rsidRPr="00650BD4">
              <w:rPr>
                <w:lang w:val="ro-RO"/>
              </w:rPr>
              <w:t xml:space="preserve">înainte de termen </w:t>
            </w:r>
            <w:r w:rsidRPr="00650BD4">
              <w:rPr>
                <w:lang w:val="ro-RO"/>
              </w:rPr>
              <w:t>a contractelor și alte litigii generate de interpretări divergente ale clauzelor contractuale.</w:t>
            </w:r>
            <w:r w:rsidR="00781056" w:rsidRPr="00650BD4">
              <w:rPr>
                <w:lang w:val="ro-RO"/>
              </w:rPr>
              <w:t xml:space="preserve"> </w:t>
            </w:r>
            <w:r w:rsidRPr="00650BD4">
              <w:rPr>
                <w:lang w:val="ro-RO"/>
              </w:rPr>
              <w:t>Lipsa unui cadru normativ secundar care să stabilească elemente minime obligatorii ale acestor contracte conduce la o diversitate excesivă a ofertelor, cu structuri contractuale diferite, ceea ce reduce eficiența concurenței și îngreunează poziționarea ofertelor furnizorilor pe piață.</w:t>
            </w:r>
          </w:p>
          <w:p w14:paraId="593276DF" w14:textId="436DF296" w:rsidR="00374B20" w:rsidRPr="00650BD4" w:rsidRDefault="00781056" w:rsidP="0041788D">
            <w:pPr>
              <w:snapToGrid w:val="0"/>
              <w:spacing w:after="120" w:line="276" w:lineRule="auto"/>
              <w:ind w:firstLine="446"/>
              <w:jc w:val="both"/>
              <w:outlineLvl w:val="2"/>
              <w:rPr>
                <w:rFonts w:eastAsia="Times New Roman" w:cs="Times New Roman"/>
                <w:szCs w:val="24"/>
              </w:rPr>
            </w:pPr>
            <w:r w:rsidRPr="00650BD4">
              <w:rPr>
                <w:rFonts w:cs="Times New Roman"/>
                <w:szCs w:val="24"/>
              </w:rPr>
              <w:lastRenderedPageBreak/>
              <w:t xml:space="preserve">V. </w:t>
            </w:r>
            <w:r w:rsidR="00374B20" w:rsidRPr="00650BD4">
              <w:rPr>
                <w:rFonts w:cs="Times New Roman"/>
                <w:szCs w:val="24"/>
              </w:rPr>
              <w:t xml:space="preserve">În paralel, </w:t>
            </w:r>
            <w:r w:rsidRPr="00650BD4">
              <w:rPr>
                <w:rFonts w:cs="Times New Roman"/>
                <w:i/>
                <w:iCs/>
                <w:szCs w:val="24"/>
              </w:rPr>
              <w:t xml:space="preserve">lipsa </w:t>
            </w:r>
            <w:r w:rsidR="004913F6" w:rsidRPr="00650BD4">
              <w:rPr>
                <w:rFonts w:cs="Times New Roman"/>
                <w:i/>
                <w:iCs/>
                <w:szCs w:val="24"/>
              </w:rPr>
              <w:t>în prezent, a</w:t>
            </w:r>
            <w:r w:rsidR="00374B20" w:rsidRPr="00650BD4">
              <w:rPr>
                <w:rFonts w:cs="Times New Roman"/>
                <w:i/>
                <w:iCs/>
                <w:szCs w:val="24"/>
              </w:rPr>
              <w:t xml:space="preserve"> unui </w:t>
            </w:r>
            <w:r w:rsidR="00374B20" w:rsidRPr="00650BD4">
              <w:rPr>
                <w:rStyle w:val="Strong"/>
                <w:rFonts w:cs="Times New Roman"/>
                <w:b w:val="0"/>
                <w:bCs w:val="0"/>
                <w:i/>
                <w:iCs/>
                <w:szCs w:val="24"/>
              </w:rPr>
              <w:t>instrument de comparare</w:t>
            </w:r>
            <w:r w:rsidRPr="00650BD4">
              <w:rPr>
                <w:rStyle w:val="Strong"/>
                <w:rFonts w:cs="Times New Roman"/>
                <w:b w:val="0"/>
                <w:bCs w:val="0"/>
                <w:i/>
                <w:iCs/>
                <w:szCs w:val="24"/>
              </w:rPr>
              <w:t xml:space="preserve"> a ofertelor</w:t>
            </w:r>
            <w:r w:rsidR="00374B20" w:rsidRPr="00650BD4">
              <w:rPr>
                <w:rStyle w:val="Strong"/>
                <w:rFonts w:cs="Times New Roman"/>
                <w:b w:val="0"/>
                <w:bCs w:val="0"/>
                <w:i/>
                <w:iCs/>
                <w:szCs w:val="24"/>
              </w:rPr>
              <w:t xml:space="preserve"> administrat de ANRE</w:t>
            </w:r>
            <w:r w:rsidR="00374B20" w:rsidRPr="00650BD4">
              <w:rPr>
                <w:rFonts w:cs="Times New Roman"/>
                <w:szCs w:val="24"/>
              </w:rPr>
              <w:t xml:space="preserve"> face ca informațiile</w:t>
            </w:r>
            <w:r w:rsidR="00C0358E" w:rsidRPr="00650BD4">
              <w:rPr>
                <w:rFonts w:cs="Times New Roman"/>
                <w:szCs w:val="24"/>
              </w:rPr>
              <w:t xml:space="preserve"> existente pe piață (privind contractele și ofertele)</w:t>
            </w:r>
            <w:r w:rsidR="00374B20" w:rsidRPr="00650BD4">
              <w:rPr>
                <w:rFonts w:cs="Times New Roman"/>
                <w:szCs w:val="24"/>
              </w:rPr>
              <w:t xml:space="preserve"> să fie fragmentate și greu a</w:t>
            </w:r>
            <w:r w:rsidR="004913F6" w:rsidRPr="00650BD4">
              <w:rPr>
                <w:rFonts w:cs="Times New Roman"/>
                <w:szCs w:val="24"/>
              </w:rPr>
              <w:t xml:space="preserve">ccesibile, ceea ce descurajează/împiedică </w:t>
            </w:r>
            <w:r w:rsidR="00374B20" w:rsidRPr="00650BD4">
              <w:rPr>
                <w:rFonts w:cs="Times New Roman"/>
                <w:szCs w:val="24"/>
              </w:rPr>
              <w:t>mobilitatea consumatorilor</w:t>
            </w:r>
            <w:r w:rsidR="00C0358E" w:rsidRPr="00650BD4">
              <w:rPr>
                <w:rFonts w:cs="Times New Roman"/>
                <w:szCs w:val="24"/>
              </w:rPr>
              <w:t>, precum</w:t>
            </w:r>
            <w:r w:rsidR="00374B20" w:rsidRPr="00650BD4">
              <w:rPr>
                <w:rFonts w:cs="Times New Roman"/>
                <w:szCs w:val="24"/>
              </w:rPr>
              <w:t xml:space="preserve"> și creează bariere indirecte pentru furnizorii noi</w:t>
            </w:r>
            <w:r w:rsidR="00A46417" w:rsidRPr="00650BD4">
              <w:rPr>
                <w:rFonts w:cs="Times New Roman"/>
                <w:szCs w:val="24"/>
              </w:rPr>
              <w:t>, reduce vizibilitatea ofertelor și afectează procesul concurențial.</w:t>
            </w:r>
          </w:p>
        </w:tc>
      </w:tr>
      <w:tr w:rsidR="00650BD4" w:rsidRPr="00650BD4" w14:paraId="2D64DF80" w14:textId="77777777" w:rsidTr="005A7B0A">
        <w:tc>
          <w:tcPr>
            <w:tcW w:w="9522" w:type="dxa"/>
          </w:tcPr>
          <w:p w14:paraId="2E4F25AB" w14:textId="77777777" w:rsidR="0012211C" w:rsidRPr="00650BD4" w:rsidRDefault="0012211C" w:rsidP="0041788D">
            <w:pPr>
              <w:snapToGrid w:val="0"/>
              <w:spacing w:line="276" w:lineRule="auto"/>
              <w:ind w:firstLine="450"/>
              <w:rPr>
                <w:rFonts w:cs="Times New Roman"/>
                <w:b/>
                <w:bCs/>
                <w:szCs w:val="24"/>
              </w:rPr>
            </w:pPr>
            <w:r w:rsidRPr="00650BD4">
              <w:rPr>
                <w:rFonts w:cs="Times New Roman"/>
                <w:b/>
                <w:bCs/>
                <w:szCs w:val="24"/>
              </w:rPr>
              <w:lastRenderedPageBreak/>
              <w:t>3. Obiectivele urmărite și soluțiile propuse</w:t>
            </w:r>
          </w:p>
        </w:tc>
      </w:tr>
      <w:tr w:rsidR="00650BD4" w:rsidRPr="00650BD4" w14:paraId="31088537" w14:textId="77777777" w:rsidTr="005A7B0A">
        <w:tc>
          <w:tcPr>
            <w:tcW w:w="9522" w:type="dxa"/>
          </w:tcPr>
          <w:p w14:paraId="11DEF277" w14:textId="77777777" w:rsidR="0012750B" w:rsidRPr="00650BD4" w:rsidRDefault="0012750B" w:rsidP="0041788D">
            <w:pPr>
              <w:snapToGrid w:val="0"/>
              <w:spacing w:line="276" w:lineRule="auto"/>
              <w:ind w:firstLine="450"/>
              <w:rPr>
                <w:rFonts w:cs="Times New Roman"/>
                <w:b/>
                <w:bCs/>
                <w:szCs w:val="24"/>
              </w:rPr>
            </w:pPr>
            <w:r w:rsidRPr="00650BD4">
              <w:rPr>
                <w:rFonts w:cs="Times New Roman"/>
                <w:b/>
                <w:i/>
                <w:szCs w:val="24"/>
              </w:rPr>
              <w:t xml:space="preserve">3.1. </w:t>
            </w:r>
            <w:r w:rsidR="005D3D6A" w:rsidRPr="00650BD4">
              <w:rPr>
                <w:rFonts w:cs="Times New Roman"/>
                <w:b/>
                <w:i/>
                <w:szCs w:val="24"/>
              </w:rPr>
              <w:t>Obiectivele principale urmărite</w:t>
            </w:r>
          </w:p>
        </w:tc>
      </w:tr>
      <w:tr w:rsidR="00650BD4" w:rsidRPr="00650BD4" w14:paraId="1CB0939D" w14:textId="77777777" w:rsidTr="005A7B0A">
        <w:tc>
          <w:tcPr>
            <w:tcW w:w="9522" w:type="dxa"/>
          </w:tcPr>
          <w:p w14:paraId="22C5FB19" w14:textId="7FBEAC8A" w:rsidR="00781056" w:rsidRPr="00650BD4" w:rsidRDefault="00781056" w:rsidP="00781056">
            <w:pPr>
              <w:snapToGrid w:val="0"/>
              <w:spacing w:line="276" w:lineRule="auto"/>
              <w:ind w:firstLine="450"/>
              <w:jc w:val="both"/>
            </w:pPr>
            <w:r w:rsidRPr="00650BD4">
              <w:rPr>
                <w:rFonts w:cs="Times New Roman"/>
                <w:szCs w:val="24"/>
              </w:rPr>
              <w:t>P</w:t>
            </w:r>
            <w:r w:rsidRPr="00650BD4">
              <w:t>rincipalele obiective sunt:</w:t>
            </w:r>
          </w:p>
          <w:p w14:paraId="25E3AF50" w14:textId="77777777" w:rsidR="00781056" w:rsidRPr="00650BD4" w:rsidRDefault="00781056" w:rsidP="0041788D">
            <w:pPr>
              <w:pStyle w:val="ListParagraph"/>
              <w:numPr>
                <w:ilvl w:val="0"/>
                <w:numId w:val="10"/>
              </w:numPr>
              <w:snapToGrid w:val="0"/>
              <w:spacing w:line="276" w:lineRule="auto"/>
              <w:ind w:left="0" w:firstLine="433"/>
              <w:contextualSpacing w:val="0"/>
              <w:jc w:val="both"/>
              <w:rPr>
                <w:rFonts w:cs="Times New Roman"/>
                <w:bCs/>
                <w:i/>
                <w:iCs/>
                <w:szCs w:val="24"/>
              </w:rPr>
            </w:pPr>
            <w:r w:rsidRPr="00650BD4">
              <w:rPr>
                <w:rFonts w:cs="Times New Roman"/>
                <w:bCs/>
                <w:i/>
                <w:iCs/>
                <w:szCs w:val="24"/>
              </w:rPr>
              <w:t>creșterea gradului de liberalizare a pieței de gaze naturale din Republica Moldova;</w:t>
            </w:r>
          </w:p>
          <w:p w14:paraId="24F8B96D" w14:textId="77777777" w:rsidR="00781056" w:rsidRPr="00650BD4" w:rsidRDefault="00781056" w:rsidP="00781056">
            <w:pPr>
              <w:pStyle w:val="ListParagraph"/>
              <w:numPr>
                <w:ilvl w:val="0"/>
                <w:numId w:val="10"/>
              </w:numPr>
              <w:snapToGrid w:val="0"/>
              <w:spacing w:line="276" w:lineRule="auto"/>
              <w:ind w:left="0" w:firstLine="433"/>
              <w:contextualSpacing w:val="0"/>
              <w:jc w:val="both"/>
              <w:rPr>
                <w:rFonts w:cs="Times New Roman"/>
                <w:bCs/>
                <w:i/>
                <w:iCs/>
                <w:szCs w:val="24"/>
              </w:rPr>
            </w:pPr>
            <w:r w:rsidRPr="00650BD4">
              <w:rPr>
                <w:rFonts w:cs="Times New Roman"/>
                <w:bCs/>
                <w:i/>
                <w:iCs/>
                <w:szCs w:val="24"/>
              </w:rPr>
              <w:t>implementarea reformelor prevăzute de legislația primară;</w:t>
            </w:r>
          </w:p>
          <w:p w14:paraId="2AC95513" w14:textId="4E16B59F" w:rsidR="00781056" w:rsidRPr="00650BD4" w:rsidRDefault="00781056" w:rsidP="0041788D">
            <w:pPr>
              <w:pStyle w:val="ListParagraph"/>
              <w:numPr>
                <w:ilvl w:val="0"/>
                <w:numId w:val="10"/>
              </w:numPr>
              <w:snapToGrid w:val="0"/>
              <w:spacing w:line="276" w:lineRule="auto"/>
              <w:ind w:left="0" w:firstLine="433"/>
              <w:contextualSpacing w:val="0"/>
              <w:jc w:val="both"/>
              <w:rPr>
                <w:rFonts w:cs="Times New Roman"/>
                <w:bCs/>
                <w:i/>
                <w:iCs/>
                <w:szCs w:val="24"/>
              </w:rPr>
            </w:pPr>
            <w:r w:rsidRPr="00650BD4">
              <w:rPr>
                <w:rFonts w:cs="Times New Roman"/>
                <w:bCs/>
                <w:i/>
                <w:iCs/>
                <w:szCs w:val="24"/>
              </w:rPr>
              <w:t>majorarea ratei de schimbare a furnizorilor de gaze naturale de către consumatorii finali;</w:t>
            </w:r>
          </w:p>
          <w:p w14:paraId="670A40A3" w14:textId="2CF43A8B" w:rsidR="00781056" w:rsidRPr="00650BD4" w:rsidRDefault="00781056" w:rsidP="0041788D">
            <w:pPr>
              <w:pStyle w:val="ListParagraph"/>
              <w:numPr>
                <w:ilvl w:val="0"/>
                <w:numId w:val="10"/>
              </w:numPr>
              <w:snapToGrid w:val="0"/>
              <w:spacing w:line="276" w:lineRule="auto"/>
              <w:ind w:left="0" w:firstLine="433"/>
              <w:contextualSpacing w:val="0"/>
              <w:jc w:val="both"/>
              <w:rPr>
                <w:rFonts w:cs="Times New Roman"/>
                <w:bCs/>
                <w:i/>
                <w:iCs/>
                <w:szCs w:val="24"/>
              </w:rPr>
            </w:pPr>
            <w:r w:rsidRPr="00650BD4">
              <w:rPr>
                <w:rFonts w:cs="Times New Roman"/>
                <w:bCs/>
                <w:i/>
                <w:iCs/>
                <w:szCs w:val="24"/>
              </w:rPr>
              <w:t>diversificarea ofertelor de furnizare a gazelor naturale, extinderea utilizării contractelor negociate pe durată determinată și la preț fix.</w:t>
            </w:r>
          </w:p>
          <w:p w14:paraId="5DC151B5" w14:textId="42671BCE" w:rsidR="00781056" w:rsidRPr="00650BD4" w:rsidRDefault="00781056" w:rsidP="009322BA">
            <w:pPr>
              <w:pStyle w:val="ListParagraph"/>
              <w:numPr>
                <w:ilvl w:val="0"/>
                <w:numId w:val="10"/>
              </w:numPr>
              <w:adjustRightInd w:val="0"/>
              <w:snapToGrid w:val="0"/>
              <w:ind w:left="0" w:firstLine="432"/>
              <w:contextualSpacing w:val="0"/>
              <w:jc w:val="both"/>
              <w:rPr>
                <w:rFonts w:cs="Times New Roman"/>
                <w:bCs/>
                <w:szCs w:val="24"/>
              </w:rPr>
            </w:pPr>
            <w:r w:rsidRPr="00650BD4">
              <w:rPr>
                <w:rFonts w:cs="Times New Roman"/>
                <w:bCs/>
                <w:i/>
                <w:iCs/>
                <w:szCs w:val="24"/>
              </w:rPr>
              <w:t>creșterea transparenței pieței cu amănuntul și a gradului de informare a consumatorilor finali</w:t>
            </w:r>
            <w:r w:rsidRPr="00650BD4">
              <w:rPr>
                <w:rFonts w:cs="Times New Roman"/>
                <w:bCs/>
                <w:szCs w:val="24"/>
              </w:rPr>
              <w:t>.</w:t>
            </w:r>
          </w:p>
          <w:p w14:paraId="7189D55C" w14:textId="51FF3D52" w:rsidR="00C92847" w:rsidRPr="00650BD4" w:rsidRDefault="00DC1B01" w:rsidP="005A7B0A">
            <w:pPr>
              <w:snapToGrid w:val="0"/>
              <w:spacing w:line="276" w:lineRule="auto"/>
              <w:ind w:firstLine="450"/>
              <w:jc w:val="both"/>
              <w:rPr>
                <w:rFonts w:cs="Times New Roman"/>
                <w:bCs/>
                <w:szCs w:val="24"/>
              </w:rPr>
            </w:pPr>
            <w:r w:rsidRPr="00650BD4">
              <w:rPr>
                <w:rFonts w:cs="Times New Roman"/>
                <w:szCs w:val="24"/>
              </w:rPr>
              <w:t xml:space="preserve">Proiectul urmărește, </w:t>
            </w:r>
            <w:r w:rsidRPr="00650BD4">
              <w:rPr>
                <w:rFonts w:cs="Times New Roman"/>
                <w:bCs/>
                <w:szCs w:val="24"/>
              </w:rPr>
              <w:t xml:space="preserve">în primul rând, </w:t>
            </w:r>
            <w:r w:rsidR="00C92847" w:rsidRPr="00650BD4">
              <w:rPr>
                <w:rFonts w:cs="Times New Roman"/>
                <w:bCs/>
                <w:i/>
                <w:iCs/>
                <w:szCs w:val="24"/>
              </w:rPr>
              <w:t>creșterea gradului de liberalizare a pieței de gaze naturale din Republica Moldova, accelerarea tranziției către piața concurențială</w:t>
            </w:r>
            <w:r w:rsidR="00C92847" w:rsidRPr="00650BD4">
              <w:rPr>
                <w:rFonts w:cs="Times New Roman"/>
                <w:bCs/>
                <w:szCs w:val="24"/>
              </w:rPr>
              <w:t xml:space="preserve">. </w:t>
            </w:r>
            <w:r w:rsidR="00C92847" w:rsidRPr="00650BD4">
              <w:rPr>
                <w:rFonts w:cs="Times New Roman"/>
                <w:bCs/>
                <w:szCs w:val="24"/>
              </w:rPr>
              <w:br/>
            </w:r>
            <w:r w:rsidR="00C92847" w:rsidRPr="00650BD4">
              <w:rPr>
                <w:rFonts w:cs="Times New Roman"/>
                <w:szCs w:val="24"/>
              </w:rPr>
              <w:t xml:space="preserve">Începând cu data restricționării graduale a accesului la furnizarea gazelor naturale la prețuri reglementate în condițiile art. 89 din Legea nr. 108/2016 cu privire la gazele naturale, consumatorii  noncasnici mari </w:t>
            </w:r>
            <w:r w:rsidR="00781056" w:rsidRPr="00650BD4">
              <w:rPr>
                <w:rFonts w:cs="Times New Roman"/>
                <w:szCs w:val="24"/>
              </w:rPr>
              <w:t xml:space="preserve"> (1 aprilie 2026) </w:t>
            </w:r>
            <w:r w:rsidR="00C92847" w:rsidRPr="00650BD4">
              <w:rPr>
                <w:rFonts w:cs="Times New Roman"/>
                <w:szCs w:val="24"/>
              </w:rPr>
              <w:t xml:space="preserve">și mijlocii </w:t>
            </w:r>
            <w:r w:rsidR="00781056" w:rsidRPr="00650BD4">
              <w:rPr>
                <w:rFonts w:cs="Times New Roman"/>
                <w:szCs w:val="24"/>
              </w:rPr>
              <w:t xml:space="preserve">(1 aprilie 2027) </w:t>
            </w:r>
            <w:r w:rsidR="00C92847" w:rsidRPr="00650BD4">
              <w:rPr>
                <w:rFonts w:cs="Times New Roman"/>
                <w:szCs w:val="24"/>
              </w:rPr>
              <w:t>vor beneficia de furnizarea gazelor naturale exclusiv în baza contractelor încheiate pe piața concurențială</w:t>
            </w:r>
            <w:r w:rsidR="00C92847" w:rsidRPr="00650BD4">
              <w:rPr>
                <w:rFonts w:cs="Times New Roman"/>
                <w:i/>
                <w:iCs/>
                <w:szCs w:val="24"/>
              </w:rPr>
              <w:t>.</w:t>
            </w:r>
            <w:r w:rsidR="00C92847" w:rsidRPr="00650BD4">
              <w:rPr>
                <w:rFonts w:cs="Times New Roman"/>
                <w:b/>
                <w:szCs w:val="24"/>
              </w:rPr>
              <w:t xml:space="preserve"> </w:t>
            </w:r>
            <w:r w:rsidR="00C92847" w:rsidRPr="00650BD4">
              <w:rPr>
                <w:rFonts w:cs="Times New Roman"/>
                <w:bCs/>
                <w:szCs w:val="24"/>
              </w:rPr>
              <w:t>Rezultatul cuantificabil preconizat constă în creșterea ponderii contractelor concurențiale în totalul contractelor de furnizare</w:t>
            </w:r>
            <w:r w:rsidR="00781056" w:rsidRPr="00650BD4">
              <w:rPr>
                <w:rFonts w:cs="Times New Roman"/>
                <w:bCs/>
                <w:szCs w:val="24"/>
              </w:rPr>
              <w:t>,</w:t>
            </w:r>
            <w:r w:rsidR="00C92847" w:rsidRPr="00650BD4">
              <w:rPr>
                <w:rFonts w:cs="Times New Roman"/>
                <w:bCs/>
                <w:szCs w:val="24"/>
              </w:rPr>
              <w:t xml:space="preserve"> de la intrarea în vigoare a modificărilor, concomitent cu reducerea dependenței de mecanismele de furnizare la prețuri reglementate. </w:t>
            </w:r>
            <w:r w:rsidR="00C92847" w:rsidRPr="00650BD4">
              <w:rPr>
                <w:rFonts w:cs="Times New Roman"/>
                <w:szCs w:val="24"/>
              </w:rPr>
              <w:t>Începând cu 1 aprilie 2026, jumătate din tot volumul de gaze naturale consumat în Republica Mol</w:t>
            </w:r>
            <w:r w:rsidR="00421302" w:rsidRPr="00650BD4">
              <w:rPr>
                <w:rFonts w:cs="Times New Roman"/>
                <w:szCs w:val="24"/>
              </w:rPr>
              <w:t>dova va fi furnizat consumatorilor</w:t>
            </w:r>
            <w:r w:rsidR="00C92847" w:rsidRPr="00650BD4">
              <w:rPr>
                <w:rFonts w:cs="Times New Roman"/>
                <w:szCs w:val="24"/>
              </w:rPr>
              <w:t xml:space="preserve"> mari, pe piața liberă, la prețuri negociate.</w:t>
            </w:r>
          </w:p>
          <w:p w14:paraId="0B13D1B2" w14:textId="77777777" w:rsidR="00781056" w:rsidRPr="00650BD4" w:rsidRDefault="00C92847" w:rsidP="0041788D">
            <w:pPr>
              <w:snapToGrid w:val="0"/>
              <w:spacing w:before="120" w:line="276" w:lineRule="auto"/>
              <w:ind w:firstLine="432"/>
              <w:jc w:val="both"/>
              <w:rPr>
                <w:rFonts w:cs="Times New Roman"/>
                <w:bCs/>
                <w:szCs w:val="24"/>
              </w:rPr>
            </w:pPr>
            <w:r w:rsidRPr="00650BD4">
              <w:rPr>
                <w:rFonts w:cs="Times New Roman"/>
                <w:bCs/>
                <w:szCs w:val="24"/>
              </w:rPr>
              <w:t xml:space="preserve">Alt obiectiv este </w:t>
            </w:r>
            <w:r w:rsidRPr="00650BD4">
              <w:rPr>
                <w:rFonts w:cs="Times New Roman"/>
                <w:bCs/>
                <w:i/>
                <w:iCs/>
                <w:szCs w:val="24"/>
              </w:rPr>
              <w:t>majorarea ratei de schimbare a furnizorilor de către consumatorii finali</w:t>
            </w:r>
            <w:r w:rsidRPr="00650BD4">
              <w:rPr>
                <w:rFonts w:cs="Times New Roman"/>
                <w:bCs/>
                <w:szCs w:val="24"/>
              </w:rPr>
              <w:t xml:space="preserve"> </w:t>
            </w:r>
            <w:r w:rsidR="00781056" w:rsidRPr="00650BD4">
              <w:rPr>
                <w:rFonts w:cs="Times New Roman"/>
                <w:bCs/>
                <w:szCs w:val="24"/>
              </w:rPr>
              <w:t xml:space="preserve">care </w:t>
            </w:r>
            <w:r w:rsidRPr="00650BD4">
              <w:rPr>
                <w:rFonts w:cs="Times New Roman"/>
                <w:bCs/>
                <w:szCs w:val="24"/>
              </w:rPr>
              <w:t xml:space="preserve">va fi realizat prin eliminarea barierelor normative care limitează exercitarea efectivă a dreptului consumatorilor finali de a-și schimba furnizorul de gaze naturale, drept consacrat de Legea nr. 108/2016 cu privire la gazele naturale. </w:t>
            </w:r>
          </w:p>
          <w:p w14:paraId="08790700" w14:textId="65DA7F7D" w:rsidR="00C92847" w:rsidRPr="00650BD4" w:rsidRDefault="00C92847" w:rsidP="0041788D">
            <w:pPr>
              <w:snapToGrid w:val="0"/>
              <w:spacing w:line="276" w:lineRule="auto"/>
              <w:ind w:firstLine="433"/>
              <w:jc w:val="both"/>
              <w:rPr>
                <w:rFonts w:cs="Times New Roman"/>
                <w:bCs/>
                <w:szCs w:val="24"/>
              </w:rPr>
            </w:pPr>
            <w:r w:rsidRPr="00650BD4">
              <w:rPr>
                <w:rFonts w:cs="Times New Roman"/>
                <w:bCs/>
                <w:szCs w:val="24"/>
              </w:rPr>
              <w:t xml:space="preserve">În special, condiționarea schimbării furnizorului de achitarea integrală a datoriilor față de furnizorul actual, precum și obligația înlocuirii echipamentelor de măsurare cu măsurare orară pentru consumatorii noncasnici, sunt apreciate ca impedimente disproporționate și nejustificate. Eliminarea acestor cerințe are drept scop creșterea mobilității consumatorilor și majorarea ratei de schimbare a furnizorului. </w:t>
            </w:r>
            <w:r w:rsidRPr="00650BD4">
              <w:rPr>
                <w:rFonts w:cs="Times New Roman"/>
                <w:szCs w:val="24"/>
              </w:rPr>
              <w:t>Ținând cont de evoluția prezentată anterior din România — unde, în primii trei ani după liberalizare, rata de schimbare a furnizorului în rândul consumatorilor casnici a crescut de la circa 8 % la peste 35 %, obiectivul</w:t>
            </w:r>
            <w:r w:rsidR="00781056" w:rsidRPr="00650BD4">
              <w:rPr>
                <w:rFonts w:cs="Times New Roman"/>
                <w:szCs w:val="24"/>
              </w:rPr>
              <w:t>. În</w:t>
            </w:r>
            <w:r w:rsidRPr="00650BD4">
              <w:rPr>
                <w:rFonts w:cs="Times New Roman"/>
                <w:szCs w:val="24"/>
              </w:rPr>
              <w:t xml:space="preserve"> Republica Moldova, </w:t>
            </w:r>
            <w:r w:rsidR="00781056" w:rsidRPr="00650BD4">
              <w:rPr>
                <w:rFonts w:cs="Times New Roman"/>
                <w:szCs w:val="24"/>
              </w:rPr>
              <w:t xml:space="preserve">se estimează că rata va constitui </w:t>
            </w:r>
            <w:r w:rsidRPr="00650BD4">
              <w:rPr>
                <w:rFonts w:cs="Times New Roman"/>
                <w:szCs w:val="24"/>
              </w:rPr>
              <w:t>un</w:t>
            </w:r>
            <w:r w:rsidR="00781056" w:rsidRPr="00650BD4">
              <w:rPr>
                <w:rFonts w:cs="Times New Roman"/>
                <w:szCs w:val="24"/>
              </w:rPr>
              <w:t xml:space="preserve"> </w:t>
            </w:r>
            <w:r w:rsidRPr="00650BD4">
              <w:rPr>
                <w:rFonts w:cs="Times New Roman"/>
                <w:szCs w:val="24"/>
              </w:rPr>
              <w:t xml:space="preserve">nivel de </w:t>
            </w:r>
            <w:r w:rsidR="00781056" w:rsidRPr="00650BD4">
              <w:rPr>
                <w:rFonts w:cs="Times New Roman"/>
                <w:bCs/>
                <w:szCs w:val="24"/>
              </w:rPr>
              <w:t xml:space="preserve">100 </w:t>
            </w:r>
            <w:r w:rsidRPr="00650BD4">
              <w:rPr>
                <w:rFonts w:cs="Times New Roman"/>
                <w:bCs/>
                <w:szCs w:val="24"/>
              </w:rPr>
              <w:t xml:space="preserve">% </w:t>
            </w:r>
            <w:r w:rsidR="00781056" w:rsidRPr="00650BD4">
              <w:rPr>
                <w:rFonts w:cs="Times New Roman"/>
                <w:bCs/>
                <w:szCs w:val="24"/>
              </w:rPr>
              <w:t>pentru</w:t>
            </w:r>
            <w:r w:rsidRPr="00650BD4">
              <w:rPr>
                <w:rFonts w:cs="Times New Roman"/>
                <w:bCs/>
                <w:szCs w:val="24"/>
              </w:rPr>
              <w:t xml:space="preserve"> consumatori</w:t>
            </w:r>
            <w:r w:rsidR="00781056" w:rsidRPr="00650BD4">
              <w:rPr>
                <w:rFonts w:cs="Times New Roman"/>
                <w:bCs/>
                <w:szCs w:val="24"/>
              </w:rPr>
              <w:t>i</w:t>
            </w:r>
            <w:r w:rsidRPr="00650BD4">
              <w:rPr>
                <w:rFonts w:cs="Times New Roman"/>
                <w:bCs/>
                <w:szCs w:val="24"/>
              </w:rPr>
              <w:t xml:space="preserve"> noncasnici</w:t>
            </w:r>
            <w:r w:rsidRPr="00650BD4">
              <w:rPr>
                <w:rFonts w:cs="Times New Roman"/>
                <w:szCs w:val="24"/>
              </w:rPr>
              <w:t xml:space="preserve"> </w:t>
            </w:r>
            <w:r w:rsidR="00781056" w:rsidRPr="00650BD4">
              <w:rPr>
                <w:rFonts w:cs="Times New Roman"/>
                <w:szCs w:val="24"/>
              </w:rPr>
              <w:t xml:space="preserve">mari și până la 10 % pentru alte categorii de consumatori.  </w:t>
            </w:r>
          </w:p>
          <w:p w14:paraId="531CF19E" w14:textId="0974D98D" w:rsidR="00C92847" w:rsidRPr="00650BD4" w:rsidRDefault="00C92847" w:rsidP="0041788D">
            <w:pPr>
              <w:snapToGrid w:val="0"/>
              <w:spacing w:line="276" w:lineRule="auto"/>
              <w:ind w:firstLine="450"/>
              <w:jc w:val="both"/>
            </w:pPr>
            <w:r w:rsidRPr="00650BD4">
              <w:rPr>
                <w:rFonts w:cs="Times New Roman"/>
                <w:bCs/>
                <w:i/>
                <w:iCs/>
                <w:szCs w:val="24"/>
              </w:rPr>
              <w:t>Extinderea utilizării contractelor negociate pe durată determinată și la preț fix.</w:t>
            </w:r>
            <w:r w:rsidRPr="00650BD4">
              <w:rPr>
                <w:rFonts w:cs="Times New Roman"/>
                <w:bCs/>
                <w:szCs w:val="24"/>
              </w:rPr>
              <w:t xml:space="preserve"> Introducerea contractelor pe durată determinată și la preț fix va stimula furnizorii să dezvolte produse comerciale pe termen lung, comparabile și orientate spre necesitățile consumatorilor. </w:t>
            </w:r>
            <w:r w:rsidRPr="00650BD4">
              <w:t>Rezultatul cuantificabil preconizat</w:t>
            </w:r>
            <w:r w:rsidRPr="00650BD4">
              <w:rPr>
                <w:bCs/>
              </w:rPr>
              <w:t> </w:t>
            </w:r>
            <w:r w:rsidRPr="00650BD4">
              <w:rPr>
                <w:rFonts w:cs="Times New Roman"/>
                <w:bCs/>
                <w:szCs w:val="24"/>
              </w:rPr>
              <w:t>constă în creșterea numărului de oferte comerciale cu durată ≥ 12 luni, preț fix, cu</w:t>
            </w:r>
            <w:r w:rsidRPr="00650BD4">
              <w:rPr>
                <w:bCs/>
              </w:rPr>
              <w:t> </w:t>
            </w:r>
            <w:r w:rsidRPr="00650BD4">
              <w:t xml:space="preserve">minimum </w:t>
            </w:r>
            <w:r w:rsidR="00781056" w:rsidRPr="00650BD4">
              <w:rPr>
                <w:rFonts w:cs="Times New Roman"/>
                <w:bCs/>
                <w:szCs w:val="24"/>
              </w:rPr>
              <w:t>1</w:t>
            </w:r>
            <w:r w:rsidRPr="00650BD4">
              <w:t>0%</w:t>
            </w:r>
            <w:r w:rsidRPr="00650BD4">
              <w:rPr>
                <w:bCs/>
              </w:rPr>
              <w:t> </w:t>
            </w:r>
            <w:r w:rsidRPr="00650BD4">
              <w:rPr>
                <w:rFonts w:cs="Times New Roman"/>
                <w:bCs/>
                <w:szCs w:val="24"/>
              </w:rPr>
              <w:t>în primul an de aplicare a reglementării.</w:t>
            </w:r>
          </w:p>
          <w:p w14:paraId="2EEB5B7C" w14:textId="6D5609F8" w:rsidR="00DC1B01" w:rsidRPr="00650BD4" w:rsidRDefault="00C92847" w:rsidP="0041788D">
            <w:pPr>
              <w:snapToGrid w:val="0"/>
              <w:spacing w:before="120" w:line="276" w:lineRule="auto"/>
              <w:ind w:firstLine="446"/>
              <w:jc w:val="both"/>
              <w:rPr>
                <w:rFonts w:cs="Times New Roman"/>
                <w:szCs w:val="24"/>
              </w:rPr>
            </w:pPr>
            <w:r w:rsidRPr="00650BD4">
              <w:rPr>
                <w:rFonts w:cs="Times New Roman"/>
                <w:bCs/>
                <w:szCs w:val="24"/>
              </w:rPr>
              <w:lastRenderedPageBreak/>
              <w:t xml:space="preserve">Alt obiectiv </w:t>
            </w:r>
            <w:r w:rsidR="00781056" w:rsidRPr="00650BD4">
              <w:rPr>
                <w:rFonts w:cs="Times New Roman"/>
                <w:bCs/>
                <w:szCs w:val="24"/>
              </w:rPr>
              <w:t xml:space="preserve">identificat </w:t>
            </w:r>
            <w:r w:rsidRPr="00650BD4">
              <w:rPr>
                <w:rFonts w:cs="Times New Roman"/>
                <w:bCs/>
                <w:szCs w:val="24"/>
              </w:rPr>
              <w:t>este</w:t>
            </w:r>
            <w:r w:rsidRPr="00650BD4">
              <w:rPr>
                <w:rFonts w:cs="Times New Roman"/>
                <w:b/>
                <w:szCs w:val="24"/>
              </w:rPr>
              <w:t xml:space="preserve"> </w:t>
            </w:r>
            <w:r w:rsidR="00DC1B01" w:rsidRPr="00650BD4">
              <w:rPr>
                <w:rFonts w:cs="Times New Roman"/>
                <w:bCs/>
                <w:i/>
                <w:iCs/>
                <w:szCs w:val="24"/>
              </w:rPr>
              <w:t>creșterea transparenței</w:t>
            </w:r>
            <w:r w:rsidR="00781056" w:rsidRPr="00650BD4">
              <w:rPr>
                <w:rFonts w:cs="Times New Roman"/>
                <w:bCs/>
                <w:i/>
                <w:iCs/>
                <w:szCs w:val="24"/>
              </w:rPr>
              <w:t xml:space="preserve"> pieței retail de gaze naturale</w:t>
            </w:r>
            <w:r w:rsidR="00DC1B01" w:rsidRPr="00650BD4">
              <w:rPr>
                <w:rFonts w:cs="Times New Roman"/>
                <w:bCs/>
                <w:i/>
                <w:iCs/>
                <w:szCs w:val="24"/>
              </w:rPr>
              <w:t xml:space="preserve"> și a gradului de informare a consumatorilor</w:t>
            </w:r>
            <w:r w:rsidRPr="00650BD4">
              <w:rPr>
                <w:rFonts w:cs="Times New Roman"/>
                <w:szCs w:val="24"/>
              </w:rPr>
              <w:t xml:space="preserve">. </w:t>
            </w:r>
            <w:r w:rsidR="00DC1B01" w:rsidRPr="00650BD4">
              <w:rPr>
                <w:rFonts w:cs="Times New Roman"/>
                <w:szCs w:val="24"/>
              </w:rPr>
              <w:t xml:space="preserve">Aceasta va permite compararea clară a condițiilor de furnizare și va contribui la formarea unei piețe mai transparente, în care toți consumatorii au acces la informații. </w:t>
            </w:r>
          </w:p>
          <w:p w14:paraId="1AC54339" w14:textId="63FEDE1E" w:rsidR="009A6448" w:rsidRPr="00650BD4" w:rsidRDefault="00C92847" w:rsidP="0041788D">
            <w:pPr>
              <w:snapToGrid w:val="0"/>
              <w:spacing w:after="120" w:line="276" w:lineRule="auto"/>
              <w:ind w:firstLine="446"/>
              <w:jc w:val="both"/>
              <w:rPr>
                <w:rFonts w:cs="Times New Roman"/>
                <w:b/>
                <w:szCs w:val="24"/>
              </w:rPr>
            </w:pPr>
            <w:r w:rsidRPr="00650BD4">
              <w:rPr>
                <w:rFonts w:cs="Times New Roman"/>
                <w:szCs w:val="24"/>
              </w:rPr>
              <w:t>Reglementarea obligațiilor de informare precontractuală și instituirea unui instrument electronic de comparare a ofertelor vor asigura accesul uniform al consumatorilor la informații clare, complete și actualizate. Estimăm că, în primul an de aplicare, furnizorii licențiați vor publica ofertele standardizate, creând baza necesară pentru evaluarea uniformă a opțiunilor de pe piață. Rezultatul cuantificabil preconizat este asigurarea informării precontractuale pentru 100% din ofertele la preț fix, precum și reducerea reclamațiilor privind lipsa de transparență, modificarea unilaterală a prețurilor sau condițiile contractuale neclare, în termen de 12 luni de la intrarea în vigoare a modificărilor.</w:t>
            </w:r>
          </w:p>
        </w:tc>
      </w:tr>
      <w:tr w:rsidR="00650BD4" w:rsidRPr="00650BD4" w14:paraId="67E7B212" w14:textId="77777777" w:rsidTr="005A7B0A">
        <w:tc>
          <w:tcPr>
            <w:tcW w:w="9522" w:type="dxa"/>
          </w:tcPr>
          <w:p w14:paraId="3D1BA076" w14:textId="77777777" w:rsidR="0012211C" w:rsidRPr="00650BD4" w:rsidRDefault="0012211C" w:rsidP="0041788D">
            <w:pPr>
              <w:snapToGrid w:val="0"/>
              <w:spacing w:line="276" w:lineRule="auto"/>
              <w:ind w:firstLine="450"/>
              <w:rPr>
                <w:rFonts w:cs="Times New Roman"/>
                <w:b/>
                <w:i/>
                <w:szCs w:val="24"/>
              </w:rPr>
            </w:pPr>
            <w:r w:rsidRPr="00650BD4">
              <w:rPr>
                <w:rFonts w:cs="Times New Roman"/>
                <w:b/>
                <w:i/>
                <w:szCs w:val="24"/>
              </w:rPr>
              <w:lastRenderedPageBreak/>
              <w:t>3.</w:t>
            </w:r>
            <w:r w:rsidR="0012750B" w:rsidRPr="00650BD4">
              <w:rPr>
                <w:rFonts w:cs="Times New Roman"/>
                <w:b/>
                <w:i/>
                <w:szCs w:val="24"/>
              </w:rPr>
              <w:t>2</w:t>
            </w:r>
            <w:r w:rsidRPr="00650BD4">
              <w:rPr>
                <w:rFonts w:cs="Times New Roman"/>
                <w:b/>
                <w:i/>
                <w:szCs w:val="24"/>
              </w:rPr>
              <w:t>. Principalele prevederi ale proiectului și evidențierea elementelor noi</w:t>
            </w:r>
          </w:p>
        </w:tc>
      </w:tr>
      <w:tr w:rsidR="00650BD4" w:rsidRPr="00650BD4" w14:paraId="05B0653B" w14:textId="77777777" w:rsidTr="005A7B0A">
        <w:tc>
          <w:tcPr>
            <w:tcW w:w="9522" w:type="dxa"/>
          </w:tcPr>
          <w:p w14:paraId="1695F46E" w14:textId="29AACE82" w:rsidR="005445E5" w:rsidRPr="00650BD4" w:rsidRDefault="005445E5" w:rsidP="0041788D">
            <w:pPr>
              <w:snapToGrid w:val="0"/>
              <w:spacing w:before="120" w:line="276" w:lineRule="auto"/>
              <w:ind w:firstLine="446"/>
              <w:jc w:val="both"/>
              <w:rPr>
                <w:rFonts w:cs="Times New Roman"/>
                <w:szCs w:val="24"/>
              </w:rPr>
            </w:pPr>
            <w:r w:rsidRPr="00650BD4">
              <w:rPr>
                <w:rFonts w:eastAsia="Times New Roman" w:cs="Times New Roman"/>
                <w:szCs w:val="24"/>
              </w:rPr>
              <w:t>În scopul facilit</w:t>
            </w:r>
            <w:r w:rsidR="00781056" w:rsidRPr="00650BD4">
              <w:rPr>
                <w:rFonts w:eastAsia="Times New Roman" w:cs="Times New Roman"/>
                <w:szCs w:val="24"/>
              </w:rPr>
              <w:t>ării</w:t>
            </w:r>
            <w:r w:rsidRPr="00650BD4">
              <w:rPr>
                <w:rFonts w:eastAsia="Times New Roman" w:cs="Times New Roman"/>
                <w:szCs w:val="24"/>
              </w:rPr>
              <w:t xml:space="preserve"> procesul</w:t>
            </w:r>
            <w:r w:rsidR="00781056" w:rsidRPr="00650BD4">
              <w:rPr>
                <w:rFonts w:eastAsia="Times New Roman" w:cs="Times New Roman"/>
                <w:szCs w:val="24"/>
              </w:rPr>
              <w:t>ui</w:t>
            </w:r>
            <w:r w:rsidRPr="00650BD4">
              <w:rPr>
                <w:rFonts w:eastAsia="Times New Roman" w:cs="Times New Roman"/>
                <w:szCs w:val="24"/>
              </w:rPr>
              <w:t xml:space="preserve"> de liberalizare</w:t>
            </w:r>
            <w:r w:rsidR="00781056" w:rsidRPr="00650BD4">
              <w:rPr>
                <w:rFonts w:eastAsia="Times New Roman" w:cs="Times New Roman"/>
                <w:szCs w:val="24"/>
              </w:rPr>
              <w:t xml:space="preserve"> a pieței de gaze naturale</w:t>
            </w:r>
            <w:r w:rsidRPr="00650BD4">
              <w:rPr>
                <w:rFonts w:eastAsia="Times New Roman" w:cs="Times New Roman"/>
                <w:szCs w:val="24"/>
              </w:rPr>
              <w:t xml:space="preserve"> </w:t>
            </w:r>
            <w:r w:rsidRPr="00650BD4">
              <w:rPr>
                <w:rFonts w:cs="Times New Roman"/>
                <w:szCs w:val="24"/>
              </w:rPr>
              <w:t xml:space="preserve">și pentru a </w:t>
            </w:r>
            <w:r w:rsidR="00781056" w:rsidRPr="00650BD4">
              <w:rPr>
                <w:rFonts w:cs="Times New Roman"/>
                <w:szCs w:val="24"/>
              </w:rPr>
              <w:t xml:space="preserve">o </w:t>
            </w:r>
            <w:r w:rsidRPr="00650BD4">
              <w:rPr>
                <w:rFonts w:cs="Times New Roman"/>
                <w:szCs w:val="24"/>
              </w:rPr>
              <w:t>transforma într-un mediu mai transparent, competitiv și orientat către consumator.</w:t>
            </w:r>
            <w:r w:rsidRPr="00650BD4">
              <w:rPr>
                <w:rFonts w:eastAsia="Times New Roman" w:cs="Times New Roman"/>
                <w:szCs w:val="24"/>
              </w:rPr>
              <w:t xml:space="preserve"> Agenția a elaborat proiectul de modificare a următoarelor acte normative:</w:t>
            </w:r>
          </w:p>
          <w:p w14:paraId="61321C1E" w14:textId="77777777" w:rsidR="00C92847" w:rsidRPr="00650BD4" w:rsidRDefault="00C92847" w:rsidP="0041788D">
            <w:pPr>
              <w:pStyle w:val="ListParagraph"/>
              <w:numPr>
                <w:ilvl w:val="0"/>
                <w:numId w:val="14"/>
              </w:numPr>
              <w:tabs>
                <w:tab w:val="left" w:pos="788"/>
              </w:tabs>
              <w:snapToGrid w:val="0"/>
              <w:spacing w:line="276" w:lineRule="auto"/>
              <w:ind w:left="0" w:firstLine="450"/>
              <w:contextualSpacing w:val="0"/>
              <w:jc w:val="both"/>
              <w:rPr>
                <w:rFonts w:eastAsia="Times New Roman" w:cs="Times New Roman"/>
                <w:i/>
                <w:iCs/>
                <w:szCs w:val="24"/>
              </w:rPr>
            </w:pPr>
            <w:r w:rsidRPr="00650BD4">
              <w:rPr>
                <w:rFonts w:cs="Times New Roman"/>
                <w:i/>
                <w:iCs/>
                <w:szCs w:val="24"/>
                <w:shd w:val="clear" w:color="auto" w:fill="FFFFFF"/>
              </w:rPr>
              <w:t>Regulamentul privind furnizarea gazelor naturale, aprobat prin Hotărârea ANRE nr. 113/2019;</w:t>
            </w:r>
          </w:p>
          <w:p w14:paraId="4DF6C313" w14:textId="6C995CFB" w:rsidR="00C92847" w:rsidRPr="00650BD4" w:rsidRDefault="00C92847" w:rsidP="0041788D">
            <w:pPr>
              <w:pStyle w:val="ListParagraph"/>
              <w:numPr>
                <w:ilvl w:val="0"/>
                <w:numId w:val="14"/>
              </w:numPr>
              <w:tabs>
                <w:tab w:val="left" w:pos="789"/>
              </w:tabs>
              <w:snapToGrid w:val="0"/>
              <w:spacing w:after="120" w:line="276" w:lineRule="auto"/>
              <w:ind w:left="0" w:firstLine="446"/>
              <w:contextualSpacing w:val="0"/>
              <w:jc w:val="both"/>
              <w:rPr>
                <w:rFonts w:cs="Times New Roman"/>
                <w:i/>
                <w:iCs/>
                <w:szCs w:val="24"/>
                <w:shd w:val="clear" w:color="auto" w:fill="FFFFFF"/>
              </w:rPr>
            </w:pPr>
            <w:r w:rsidRPr="00650BD4">
              <w:rPr>
                <w:rFonts w:cs="Times New Roman"/>
                <w:i/>
                <w:iCs/>
                <w:szCs w:val="24"/>
                <w:shd w:val="clear" w:color="auto" w:fill="FFFFFF"/>
              </w:rPr>
              <w:t>Regulamentul privind procedura de schimbare a furnizorului de gaze naturale  aprobat prin Hotărârea ANRE nr. 363/2020.</w:t>
            </w:r>
          </w:p>
          <w:p w14:paraId="12D178D8" w14:textId="7868808C" w:rsidR="001C603D" w:rsidRPr="00650BD4" w:rsidRDefault="001C603D" w:rsidP="0041788D">
            <w:pPr>
              <w:pStyle w:val="ListParagraph"/>
              <w:numPr>
                <w:ilvl w:val="0"/>
                <w:numId w:val="19"/>
              </w:numPr>
              <w:tabs>
                <w:tab w:val="left" w:pos="789"/>
              </w:tabs>
              <w:snapToGrid w:val="0"/>
              <w:spacing w:line="276" w:lineRule="auto"/>
              <w:ind w:left="73" w:firstLine="360"/>
              <w:jc w:val="both"/>
              <w:rPr>
                <w:rFonts w:cs="Times New Roman"/>
                <w:szCs w:val="24"/>
                <w:shd w:val="clear" w:color="auto" w:fill="FFFFFF"/>
              </w:rPr>
            </w:pPr>
            <w:r w:rsidRPr="00650BD4">
              <w:rPr>
                <w:rFonts w:cs="Times New Roman"/>
                <w:szCs w:val="24"/>
                <w:shd w:val="clear" w:color="auto" w:fill="FFFFFF"/>
              </w:rPr>
              <w:t>Principalele modific</w:t>
            </w:r>
            <w:r w:rsidR="005445E5" w:rsidRPr="00650BD4">
              <w:rPr>
                <w:rFonts w:cs="Times New Roman"/>
                <w:szCs w:val="24"/>
                <w:shd w:val="clear" w:color="auto" w:fill="FFFFFF"/>
              </w:rPr>
              <w:t>ări propuse la</w:t>
            </w:r>
            <w:r w:rsidR="00C92847" w:rsidRPr="00650BD4">
              <w:rPr>
                <w:rFonts w:cs="Times New Roman"/>
                <w:szCs w:val="24"/>
                <w:shd w:val="clear" w:color="auto" w:fill="FFFFFF"/>
              </w:rPr>
              <w:t xml:space="preserve"> </w:t>
            </w:r>
            <w:r w:rsidRPr="00650BD4">
              <w:rPr>
                <w:rFonts w:cs="Times New Roman"/>
                <w:b/>
                <w:bCs/>
                <w:szCs w:val="24"/>
                <w:shd w:val="clear" w:color="auto" w:fill="FFFFFF"/>
              </w:rPr>
              <w:t>R</w:t>
            </w:r>
            <w:r w:rsidR="00C92847" w:rsidRPr="00650BD4">
              <w:rPr>
                <w:rFonts w:cs="Times New Roman"/>
                <w:b/>
                <w:bCs/>
                <w:szCs w:val="24"/>
                <w:shd w:val="clear" w:color="auto" w:fill="FFFFFF"/>
              </w:rPr>
              <w:t>egulamentul</w:t>
            </w:r>
            <w:r w:rsidRPr="00650BD4">
              <w:rPr>
                <w:rFonts w:cs="Times New Roman"/>
                <w:b/>
                <w:bCs/>
                <w:szCs w:val="24"/>
                <w:shd w:val="clear" w:color="auto" w:fill="FFFFFF"/>
              </w:rPr>
              <w:t>ui</w:t>
            </w:r>
            <w:r w:rsidR="00C92847" w:rsidRPr="00650BD4">
              <w:rPr>
                <w:rFonts w:cs="Times New Roman"/>
                <w:b/>
                <w:bCs/>
                <w:szCs w:val="24"/>
                <w:shd w:val="clear" w:color="auto" w:fill="FFFFFF"/>
              </w:rPr>
              <w:t xml:space="preserve"> privind furnizarea gazelor naturale, aprobat prin Hotărârea ANRE nr. 113/2019</w:t>
            </w:r>
            <w:r w:rsidRPr="00650BD4">
              <w:rPr>
                <w:rFonts w:cs="Times New Roman"/>
                <w:szCs w:val="24"/>
                <w:shd w:val="clear" w:color="auto" w:fill="FFFFFF"/>
              </w:rPr>
              <w:t xml:space="preserve"> se referă la:</w:t>
            </w:r>
          </w:p>
          <w:p w14:paraId="3171BAC0" w14:textId="6945C896" w:rsidR="005445E5" w:rsidRPr="00650BD4" w:rsidRDefault="001C603D" w:rsidP="00650BD4">
            <w:pPr>
              <w:pStyle w:val="NormalWeb"/>
              <w:numPr>
                <w:ilvl w:val="0"/>
                <w:numId w:val="10"/>
              </w:numPr>
              <w:snapToGrid w:val="0"/>
              <w:spacing w:before="0" w:beforeAutospacing="0" w:after="0" w:afterAutospacing="0" w:line="276" w:lineRule="auto"/>
              <w:ind w:left="0" w:firstLine="519"/>
              <w:jc w:val="both"/>
              <w:rPr>
                <w:i/>
                <w:iCs/>
                <w:shd w:val="clear" w:color="auto" w:fill="FFFFFF"/>
                <w:lang w:val="ro-RO"/>
              </w:rPr>
            </w:pPr>
            <w:r w:rsidRPr="00650BD4">
              <w:rPr>
                <w:rFonts w:eastAsiaTheme="minorHAnsi"/>
                <w:i/>
                <w:iCs/>
                <w:shd w:val="clear" w:color="auto" w:fill="FFFFFF"/>
                <w:lang w:val="ro-RO"/>
              </w:rPr>
              <w:t>Stabilirea condițiilor specifice de furnizare a gazelor naturale pentru categoriile de consumatori finali care nu au dreptul de a beneficia de furnizarea gazelor naturale la prețuri reglementate</w:t>
            </w:r>
            <w:r w:rsidR="005445E5" w:rsidRPr="00650BD4">
              <w:rPr>
                <w:rFonts w:eastAsiaTheme="minorHAnsi"/>
                <w:i/>
                <w:iCs/>
                <w:shd w:val="clear" w:color="auto" w:fill="FFFFFF"/>
                <w:lang w:val="ro-RO"/>
              </w:rPr>
              <w:t xml:space="preserve">. </w:t>
            </w:r>
            <w:r w:rsidRPr="00650BD4">
              <w:rPr>
                <w:lang w:val="ro-RO"/>
              </w:rPr>
              <w:t>Începând cu data restricționării graduale a accesului consumatorilor noncasnici mari și mijlocii la furnizarea gazelor naturale la prețuri reglementate în condițiile art. 89 din Legea nr. 108/2016 cu privire la gazele naturale, consumatorii </w:t>
            </w:r>
            <w:r w:rsidR="00421302" w:rsidRPr="00650BD4">
              <w:rPr>
                <w:lang w:val="ro-RO"/>
              </w:rPr>
              <w:t>respectivi</w:t>
            </w:r>
            <w:r w:rsidR="00781056" w:rsidRPr="00650BD4">
              <w:rPr>
                <w:lang w:val="ro-RO"/>
              </w:rPr>
              <w:t xml:space="preserve"> vor </w:t>
            </w:r>
            <w:r w:rsidRPr="00650BD4">
              <w:rPr>
                <w:lang w:val="ro-RO"/>
              </w:rPr>
              <w:t>beneficia de furnizarea gazelor naturale exclusiv în baza contractelor încheiate pe piața concurențială</w:t>
            </w:r>
            <w:r w:rsidR="005445E5" w:rsidRPr="00650BD4">
              <w:rPr>
                <w:lang w:val="ro-RO"/>
              </w:rPr>
              <w:t xml:space="preserve"> unde prețurile aplicabile în cadrul contractelor concurențiale nu se aprobă de către Agenție și se negociază între părți</w:t>
            </w:r>
            <w:r w:rsidRPr="00650BD4">
              <w:rPr>
                <w:lang w:val="ro-RO"/>
              </w:rPr>
              <w:t>.</w:t>
            </w:r>
            <w:r w:rsidR="005445E5" w:rsidRPr="00650BD4">
              <w:rPr>
                <w:lang w:val="ro-RO"/>
              </w:rPr>
              <w:t xml:space="preserve"> </w:t>
            </w:r>
          </w:p>
          <w:p w14:paraId="64F190D1" w14:textId="13EFBAB5" w:rsidR="001C603D" w:rsidRPr="00650BD4" w:rsidRDefault="005445E5" w:rsidP="0041788D">
            <w:pPr>
              <w:tabs>
                <w:tab w:val="left" w:pos="990"/>
              </w:tabs>
              <w:autoSpaceDE w:val="0"/>
              <w:autoSpaceDN w:val="0"/>
              <w:adjustRightInd w:val="0"/>
              <w:snapToGrid w:val="0"/>
              <w:spacing w:line="276" w:lineRule="auto"/>
              <w:ind w:firstLine="450"/>
              <w:jc w:val="both"/>
              <w:rPr>
                <w:rFonts w:cs="Times New Roman"/>
                <w:szCs w:val="24"/>
              </w:rPr>
            </w:pPr>
            <w:r w:rsidRPr="00650BD4">
              <w:rPr>
                <w:rFonts w:cs="Times New Roman"/>
                <w:szCs w:val="24"/>
              </w:rPr>
              <w:t xml:space="preserve">După cum s-a menționat mai sus, restricționarea accesului la prețuri reglementate va avea loc treptat, mai întâi pentru consumatorii noncasnici mari și ulterior pentru consumatorii noncasnici mijlocii. Pentru a pregăti consumatorii de această schimbare, furnizorul </w:t>
            </w:r>
            <w:r w:rsidR="001C603D" w:rsidRPr="00650BD4">
              <w:rPr>
                <w:rFonts w:cs="Times New Roman"/>
                <w:szCs w:val="24"/>
              </w:rPr>
              <w:t>de serviciu public au obligația de a înștiința consumatorii care nu au dreptul de a beneficia de furnizarea gazelor naturale la prețuri reglementate despre rezoluțiunea contractului de furnizare a gazelor naturale încheiat în</w:t>
            </w:r>
            <w:r w:rsidR="00D76FEE" w:rsidRPr="00650BD4">
              <w:rPr>
                <w:rFonts w:cs="Times New Roman"/>
                <w:szCs w:val="24"/>
              </w:rPr>
              <w:t xml:space="preserve"> </w:t>
            </w:r>
            <w:r w:rsidR="001C603D" w:rsidRPr="00650BD4">
              <w:rPr>
                <w:rFonts w:cs="Times New Roman"/>
                <w:szCs w:val="24"/>
              </w:rPr>
              <w:t>contextul obligaţiei de serviciu public</w:t>
            </w:r>
            <w:r w:rsidRPr="00650BD4">
              <w:rPr>
                <w:rFonts w:cs="Times New Roman"/>
                <w:szCs w:val="24"/>
              </w:rPr>
              <w:t>, începând cu</w:t>
            </w:r>
            <w:r w:rsidR="001C603D" w:rsidRPr="00650BD4">
              <w:rPr>
                <w:rFonts w:cs="Times New Roman"/>
                <w:szCs w:val="24"/>
              </w:rPr>
              <w:t xml:space="preserve"> data încetării dreptului consumatorilor respectivi de a fi aprovizionați cu gaze naturale la prețuri reglementate, conform calendarului stabilit de Agenție. </w:t>
            </w:r>
          </w:p>
          <w:p w14:paraId="16128C05" w14:textId="57322576" w:rsidR="001C603D" w:rsidRPr="00650BD4" w:rsidRDefault="001C603D" w:rsidP="0041788D">
            <w:pPr>
              <w:pStyle w:val="ListParagraph"/>
              <w:tabs>
                <w:tab w:val="left" w:pos="990"/>
              </w:tabs>
              <w:autoSpaceDE w:val="0"/>
              <w:autoSpaceDN w:val="0"/>
              <w:adjustRightInd w:val="0"/>
              <w:snapToGrid w:val="0"/>
              <w:spacing w:line="276" w:lineRule="auto"/>
              <w:ind w:left="0" w:firstLine="450"/>
              <w:contextualSpacing w:val="0"/>
              <w:jc w:val="both"/>
              <w:rPr>
                <w:rFonts w:cs="Times New Roman"/>
                <w:szCs w:val="24"/>
              </w:rPr>
            </w:pPr>
            <w:r w:rsidRPr="00650BD4">
              <w:rPr>
                <w:rFonts w:cs="Times New Roman"/>
                <w:szCs w:val="24"/>
              </w:rPr>
              <w:t xml:space="preserve">Consumatorii noncasnici, au obligația de a încheia un contract de furnizare a gazelor naturale pe piața concurențială, </w:t>
            </w:r>
            <w:r w:rsidR="005445E5" w:rsidRPr="00650BD4">
              <w:rPr>
                <w:rFonts w:cs="Times New Roman"/>
                <w:szCs w:val="24"/>
              </w:rPr>
              <w:t xml:space="preserve">direct, </w:t>
            </w:r>
            <w:r w:rsidRPr="00650BD4">
              <w:rPr>
                <w:rFonts w:cs="Times New Roman"/>
                <w:szCs w:val="24"/>
              </w:rPr>
              <w:t>la prețuri negociate sau prin intermediul platformelor de tranzacționare a gazelor naturale de pe teritoriul Republicii Moldova destinate consumatorilor.  Contractele de furnizare sunt încheiate în conformitate</w:t>
            </w:r>
            <w:r w:rsidR="00AC0E85" w:rsidRPr="00650BD4">
              <w:rPr>
                <w:rFonts w:cs="Times New Roman"/>
                <w:szCs w:val="24"/>
              </w:rPr>
              <w:t xml:space="preserve"> cu</w:t>
            </w:r>
            <w:r w:rsidRPr="00650BD4">
              <w:rPr>
                <w:rFonts w:cs="Times New Roman"/>
                <w:szCs w:val="24"/>
              </w:rPr>
              <w:t xml:space="preserve"> </w:t>
            </w:r>
            <w:r w:rsidR="005445E5" w:rsidRPr="00650BD4">
              <w:rPr>
                <w:rFonts w:cs="Times New Roman"/>
                <w:szCs w:val="24"/>
              </w:rPr>
              <w:t>prevederile</w:t>
            </w:r>
            <w:r w:rsidRPr="00650BD4">
              <w:rPr>
                <w:rFonts w:cs="Times New Roman"/>
                <w:szCs w:val="24"/>
              </w:rPr>
              <w:t xml:space="preserve"> Regulamentul</w:t>
            </w:r>
            <w:r w:rsidR="005445E5" w:rsidRPr="00650BD4">
              <w:rPr>
                <w:rFonts w:cs="Times New Roman"/>
                <w:szCs w:val="24"/>
              </w:rPr>
              <w:t>ui</w:t>
            </w:r>
            <w:r w:rsidRPr="00650BD4">
              <w:rPr>
                <w:rFonts w:cs="Times New Roman"/>
                <w:szCs w:val="24"/>
              </w:rPr>
              <w:t xml:space="preserve"> privind furnizarea gazelor naturale, cu furnizorii de gaze naturale licențiați, lista cărora este publicată în Registrul de licențiere disponibil pe pagina web a Agenției.</w:t>
            </w:r>
          </w:p>
          <w:p w14:paraId="5DDBFFC3" w14:textId="35D85BE7" w:rsidR="001C603D" w:rsidRPr="00650BD4" w:rsidRDefault="001C603D" w:rsidP="0041788D">
            <w:pPr>
              <w:pStyle w:val="ListParagraph"/>
              <w:tabs>
                <w:tab w:val="left" w:pos="990"/>
              </w:tabs>
              <w:autoSpaceDE w:val="0"/>
              <w:autoSpaceDN w:val="0"/>
              <w:adjustRightInd w:val="0"/>
              <w:snapToGrid w:val="0"/>
              <w:spacing w:line="276" w:lineRule="auto"/>
              <w:ind w:left="0" w:firstLine="450"/>
              <w:contextualSpacing w:val="0"/>
              <w:jc w:val="both"/>
              <w:rPr>
                <w:rFonts w:cs="Times New Roman"/>
                <w:szCs w:val="24"/>
              </w:rPr>
            </w:pPr>
            <w:r w:rsidRPr="00650BD4">
              <w:rPr>
                <w:rFonts w:cs="Times New Roman"/>
                <w:szCs w:val="24"/>
              </w:rPr>
              <w:lastRenderedPageBreak/>
              <w:t>Furnizorii au obligația de  a pune la dispoziţia consumatorilor finali, gratuit informaţii transparente, prezentate într-un manieră clară și completă, privind condiţiile comerciale de furnizare a gazelor naturale</w:t>
            </w:r>
            <w:r w:rsidR="005445E5" w:rsidRPr="00650BD4">
              <w:rPr>
                <w:rFonts w:cs="Times New Roman"/>
                <w:szCs w:val="24"/>
              </w:rPr>
              <w:t>.</w:t>
            </w:r>
          </w:p>
          <w:p w14:paraId="0BE47B29" w14:textId="0A0CEA3B" w:rsidR="001C603D" w:rsidRPr="00650BD4" w:rsidRDefault="005445E5" w:rsidP="0041788D">
            <w:pPr>
              <w:pStyle w:val="ListParagraph"/>
              <w:numPr>
                <w:ilvl w:val="0"/>
                <w:numId w:val="10"/>
              </w:numPr>
              <w:tabs>
                <w:tab w:val="left" w:pos="789"/>
              </w:tabs>
              <w:snapToGrid w:val="0"/>
              <w:spacing w:line="276" w:lineRule="auto"/>
              <w:ind w:left="-17" w:firstLine="536"/>
              <w:contextualSpacing w:val="0"/>
              <w:jc w:val="both"/>
              <w:rPr>
                <w:rFonts w:eastAsia="Times New Roman" w:cs="Times New Roman"/>
                <w:szCs w:val="24"/>
              </w:rPr>
            </w:pPr>
            <w:r w:rsidRPr="00650BD4">
              <w:rPr>
                <w:rFonts w:cs="Times New Roman"/>
                <w:i/>
                <w:iCs/>
                <w:szCs w:val="24"/>
                <w:shd w:val="clear" w:color="auto" w:fill="FFFFFF"/>
              </w:rPr>
              <w:t>R</w:t>
            </w:r>
            <w:r w:rsidR="001C603D" w:rsidRPr="00650BD4">
              <w:rPr>
                <w:rFonts w:cs="Times New Roman"/>
                <w:i/>
                <w:iCs/>
                <w:szCs w:val="24"/>
                <w:shd w:val="clear" w:color="auto" w:fill="FFFFFF"/>
              </w:rPr>
              <w:t>eglementarea contractelor</w:t>
            </w:r>
            <w:r w:rsidR="00C92847" w:rsidRPr="00650BD4">
              <w:rPr>
                <w:rFonts w:cs="Times New Roman"/>
                <w:i/>
                <w:iCs/>
                <w:szCs w:val="24"/>
                <w:shd w:val="clear" w:color="auto" w:fill="FFFFFF"/>
              </w:rPr>
              <w:t xml:space="preserve"> de furnizare a gazelor naturale </w:t>
            </w:r>
            <w:r w:rsidR="001C603D" w:rsidRPr="00650BD4">
              <w:rPr>
                <w:rFonts w:cs="Times New Roman"/>
                <w:i/>
                <w:iCs/>
                <w:szCs w:val="24"/>
                <w:shd w:val="clear" w:color="auto" w:fill="FFFFFF"/>
              </w:rPr>
              <w:t>cu</w:t>
            </w:r>
            <w:r w:rsidR="00C92847" w:rsidRPr="00650BD4">
              <w:rPr>
                <w:rFonts w:cs="Times New Roman"/>
                <w:i/>
                <w:iCs/>
                <w:szCs w:val="24"/>
                <w:shd w:val="clear" w:color="auto" w:fill="FFFFFF"/>
              </w:rPr>
              <w:t xml:space="preserve"> condiții contractuale prestabilite, </w:t>
            </w:r>
            <w:r w:rsidR="00421302" w:rsidRPr="00650BD4">
              <w:rPr>
                <w:rFonts w:cs="Times New Roman"/>
                <w:i/>
                <w:iCs/>
                <w:szCs w:val="24"/>
                <w:shd w:val="clear" w:color="auto" w:fill="FFFFFF"/>
              </w:rPr>
              <w:t xml:space="preserve">cu </w:t>
            </w:r>
            <w:r w:rsidR="00C92847" w:rsidRPr="00650BD4">
              <w:rPr>
                <w:rFonts w:cs="Times New Roman"/>
                <w:i/>
                <w:iCs/>
                <w:szCs w:val="24"/>
                <w:shd w:val="clear" w:color="auto" w:fill="FFFFFF"/>
              </w:rPr>
              <w:t>o durată determinată</w:t>
            </w:r>
            <w:r w:rsidR="001C603D" w:rsidRPr="00650BD4">
              <w:rPr>
                <w:rFonts w:cs="Times New Roman"/>
                <w:i/>
                <w:iCs/>
                <w:szCs w:val="24"/>
                <w:shd w:val="clear" w:color="auto" w:fill="FFFFFF"/>
              </w:rPr>
              <w:t>.</w:t>
            </w:r>
            <w:r w:rsidRPr="00650BD4">
              <w:rPr>
                <w:rFonts w:cs="Times New Roman"/>
                <w:i/>
                <w:iCs/>
                <w:szCs w:val="24"/>
                <w:shd w:val="clear" w:color="auto" w:fill="FFFFFF"/>
              </w:rPr>
              <w:t xml:space="preserve"> </w:t>
            </w:r>
            <w:r w:rsidR="001C603D" w:rsidRPr="00650BD4">
              <w:rPr>
                <w:rFonts w:eastAsia="Times New Roman" w:cs="Times New Roman"/>
                <w:szCs w:val="24"/>
              </w:rPr>
              <w:t>Termenii și condițiile contractuale prestabilite, rămân neschimbate pe parcursul executării contractului și nu pot fi modificate sau rezolvite unilateral de către furnizor, înainte de expirarea acestora, cu excepția cazurilor de neexecutare a obligațiilor de către consumatorul final.</w:t>
            </w:r>
          </w:p>
          <w:p w14:paraId="74D9783F" w14:textId="39D3F80F" w:rsidR="001C603D" w:rsidRPr="00650BD4" w:rsidRDefault="005445E5" w:rsidP="0041788D">
            <w:pPr>
              <w:pStyle w:val="NormalWeb"/>
              <w:snapToGrid w:val="0"/>
              <w:spacing w:before="0" w:beforeAutospacing="0" w:after="0" w:afterAutospacing="0" w:line="276" w:lineRule="auto"/>
              <w:ind w:firstLine="450"/>
              <w:jc w:val="both"/>
              <w:rPr>
                <w:rStyle w:val="citation-131"/>
                <w:lang w:val="ro-RO"/>
              </w:rPr>
            </w:pPr>
            <w:r w:rsidRPr="00650BD4">
              <w:rPr>
                <w:lang w:val="ro-RO"/>
              </w:rPr>
              <w:t>Proiectul prevede ca înainte de</w:t>
            </w:r>
            <w:r w:rsidR="001C603D" w:rsidRPr="00650BD4">
              <w:rPr>
                <w:lang w:val="ro-RO"/>
              </w:rPr>
              <w:t xml:space="preserve"> încheierea contractului de furnizare pe durată determinată şi la preţ fix, furnizorul are obligația să informeze consumatorul final, într-un limbaj clar și concis, cu privire la</w:t>
            </w:r>
            <w:r w:rsidR="00D76FEE" w:rsidRPr="00650BD4">
              <w:rPr>
                <w:lang w:val="ro-RO"/>
              </w:rPr>
              <w:t xml:space="preserve">: </w:t>
            </w:r>
            <w:r w:rsidR="001C603D" w:rsidRPr="00650BD4">
              <w:rPr>
                <w:rStyle w:val="citation-133"/>
                <w:lang w:val="ro-RO"/>
              </w:rPr>
              <w:t>descrierea ofertei cu preț fix, costurile, avantajele acesteia</w:t>
            </w:r>
            <w:r w:rsidRPr="00650BD4">
              <w:rPr>
                <w:rStyle w:val="citation-133"/>
                <w:lang w:val="ro-RO"/>
              </w:rPr>
              <w:t xml:space="preserve"> </w:t>
            </w:r>
            <w:r w:rsidR="001C603D" w:rsidRPr="00650BD4">
              <w:rPr>
                <w:rStyle w:val="citation-133"/>
                <w:lang w:val="ro-RO"/>
              </w:rPr>
              <w:t xml:space="preserve">și riscurile asociate, inclusiv lipsa posibilității de a beneficia de eventualele scăderi ale prețurilor pe piață; </w:t>
            </w:r>
            <w:r w:rsidR="001C603D" w:rsidRPr="00650BD4">
              <w:rPr>
                <w:rStyle w:val="citation-132"/>
                <w:lang w:val="ro-RO"/>
              </w:rPr>
              <w:t xml:space="preserve">diferențele esențiale dintre oferta </w:t>
            </w:r>
            <w:r w:rsidR="001C603D" w:rsidRPr="00650BD4">
              <w:rPr>
                <w:lang w:val="ro-RO"/>
              </w:rPr>
              <w:t>pe durată determinată şi la preţ fix</w:t>
            </w:r>
            <w:r w:rsidR="001C603D" w:rsidRPr="00650BD4">
              <w:rPr>
                <w:rStyle w:val="citation-131"/>
                <w:lang w:val="ro-RO"/>
              </w:rPr>
              <w:t xml:space="preserve"> </w:t>
            </w:r>
            <w:r w:rsidR="001C603D" w:rsidRPr="00650BD4">
              <w:rPr>
                <w:rStyle w:val="citation-132"/>
                <w:lang w:val="ro-RO"/>
              </w:rPr>
              <w:t xml:space="preserve">și celelalte oferte comerciale din portofoliul furnizorului; </w:t>
            </w:r>
            <w:r w:rsidR="001C603D" w:rsidRPr="00650BD4">
              <w:rPr>
                <w:rStyle w:val="citation-131"/>
                <w:lang w:val="ro-RO"/>
              </w:rPr>
              <w:t>consecințe financiare ce pot surveni în cazul rezoluțiunii/rezolvirii anticipate a contractului</w:t>
            </w:r>
            <w:r w:rsidR="001C603D" w:rsidRPr="00650BD4">
              <w:rPr>
                <w:b/>
                <w:bCs/>
                <w:lang w:val="ro-RO"/>
              </w:rPr>
              <w:t xml:space="preserve"> </w:t>
            </w:r>
            <w:r w:rsidR="001C603D" w:rsidRPr="00650BD4">
              <w:rPr>
                <w:lang w:val="ro-RO"/>
              </w:rPr>
              <w:t>pe durată determinată şi la preţ fix</w:t>
            </w:r>
            <w:r w:rsidR="001C603D" w:rsidRPr="00650BD4">
              <w:rPr>
                <w:rStyle w:val="citation-131"/>
                <w:lang w:val="ro-RO"/>
              </w:rPr>
              <w:t xml:space="preserve"> din inițiativa consumatorului</w:t>
            </w:r>
            <w:r w:rsidR="00D76FEE" w:rsidRPr="00650BD4">
              <w:rPr>
                <w:rStyle w:val="citation-131"/>
                <w:lang w:val="ro-RO"/>
              </w:rPr>
              <w:t>.</w:t>
            </w:r>
            <w:r w:rsidR="001C603D" w:rsidRPr="00650BD4">
              <w:rPr>
                <w:rStyle w:val="citation-131"/>
                <w:lang w:val="ro-RO"/>
              </w:rPr>
              <w:t xml:space="preserve"> </w:t>
            </w:r>
          </w:p>
          <w:p w14:paraId="13E02946" w14:textId="5F477B14" w:rsidR="00AC0E85" w:rsidRPr="00650BD4" w:rsidRDefault="00AC0E85" w:rsidP="0041788D">
            <w:pPr>
              <w:pStyle w:val="NormalWeb"/>
              <w:snapToGrid w:val="0"/>
              <w:spacing w:before="0" w:beforeAutospacing="0" w:after="0" w:afterAutospacing="0" w:line="276" w:lineRule="auto"/>
              <w:ind w:firstLine="450"/>
              <w:jc w:val="both"/>
              <w:rPr>
                <w:rFonts w:eastAsiaTheme="minorEastAsia"/>
                <w:lang w:val="ro-RO"/>
              </w:rPr>
            </w:pPr>
            <w:r w:rsidRPr="00650BD4">
              <w:rPr>
                <w:rStyle w:val="citation-131"/>
                <w:lang w:val="ro-RO"/>
              </w:rPr>
              <w:t xml:space="preserve">Contractul de furnizare a gazelor naturale </w:t>
            </w:r>
            <w:r w:rsidRPr="00650BD4">
              <w:rPr>
                <w:lang w:val="ro-RO"/>
              </w:rPr>
              <w:t>se încheie în formă scrisă, sau la solicitarea consumatorului în formă electronica, sub formă de document electronic cu semnătura electronică avansată calificată.</w:t>
            </w:r>
          </w:p>
          <w:p w14:paraId="0F9FB789" w14:textId="7434B873" w:rsidR="001C603D" w:rsidRPr="00650BD4" w:rsidRDefault="001C603D" w:rsidP="005A7B0A">
            <w:pPr>
              <w:pStyle w:val="NormalWeb"/>
              <w:tabs>
                <w:tab w:val="left" w:pos="487"/>
              </w:tabs>
              <w:snapToGrid w:val="0"/>
              <w:spacing w:before="0" w:beforeAutospacing="0" w:after="0" w:afterAutospacing="0" w:line="276" w:lineRule="auto"/>
              <w:ind w:right="64" w:firstLine="487"/>
              <w:jc w:val="both"/>
              <w:rPr>
                <w:i/>
                <w:iCs/>
                <w:lang w:val="ro-RO"/>
              </w:rPr>
            </w:pPr>
            <w:r w:rsidRPr="00650BD4">
              <w:rPr>
                <w:rStyle w:val="citation-123"/>
                <w:lang w:val="ro-RO"/>
              </w:rPr>
              <w:t xml:space="preserve">Furnizorul nu poate rezoluționa anticipat contractele încheiate pentru o durată determinată și la preț fix, înainte de expirarea termenului convenit. </w:t>
            </w:r>
            <w:r w:rsidRPr="00650BD4">
              <w:rPr>
                <w:lang w:val="ro-RO"/>
              </w:rPr>
              <w:t xml:space="preserve">Furnizorul poate percepe o </w:t>
            </w:r>
            <w:r w:rsidRPr="00650BD4">
              <w:rPr>
                <w:i/>
                <w:iCs/>
                <w:lang w:val="ro-RO"/>
              </w:rPr>
              <w:t xml:space="preserve">plată pentru rezoluţiunea voluntară </w:t>
            </w:r>
            <w:r w:rsidRPr="00650BD4">
              <w:rPr>
                <w:lang w:val="ro-RO"/>
              </w:rPr>
              <w:t xml:space="preserve">de către consumatorul final a contractului de furnizare a gazelor naturale pe durată determinată şi la preţ fix, înainte de expirarea termenului acestuia. </w:t>
            </w:r>
            <w:r w:rsidR="002C6B94" w:rsidRPr="00650BD4">
              <w:rPr>
                <w:lang w:val="ro-RO"/>
              </w:rPr>
              <w:t xml:space="preserve">Plata pentru rezoluţiunea contractului trebuie să fie proporţională </w:t>
            </w:r>
            <w:r w:rsidR="002C6B94" w:rsidRPr="00650BD4">
              <w:rPr>
                <w:iCs/>
                <w:lang w:val="ro-RO"/>
              </w:rPr>
              <w:t>și să compenseze prejudiciul financiar adus furnizorului de la neprelevarea volumelor de gaze naturale stabilite în contract cu preţ  fix</w:t>
            </w:r>
            <w:r w:rsidR="002C6B94" w:rsidRPr="00650BD4" w:rsidDel="000A290C">
              <w:rPr>
                <w:lang w:val="ro-RO"/>
              </w:rPr>
              <w:t xml:space="preserve"> </w:t>
            </w:r>
            <w:r w:rsidR="002C6B94" w:rsidRPr="00650BD4">
              <w:rPr>
                <w:lang w:val="ro-RO"/>
              </w:rPr>
              <w:t>suportat ca urmare a rezoluţiunii unilaterale a contractului de către un consumator final. Sarcina probei revine furnizorului, iar monitorizarea admisibilităţii plăţilor pentru rezoluţiunea contractului este de competenţa Agenţiei</w:t>
            </w:r>
            <w:r w:rsidR="00401A19" w:rsidRPr="00650BD4">
              <w:rPr>
                <w:lang w:val="ro-RO"/>
              </w:rPr>
              <w:t>.</w:t>
            </w:r>
            <w:r w:rsidR="00650BD4">
              <w:rPr>
                <w:lang w:val="ro-RO"/>
              </w:rPr>
              <w:t xml:space="preserve"> </w:t>
            </w:r>
            <w:r w:rsidR="00D76FEE" w:rsidRPr="00650BD4">
              <w:rPr>
                <w:i/>
                <w:iCs/>
                <w:lang w:val="ro-RO"/>
              </w:rPr>
              <w:t>Norme privind</w:t>
            </w:r>
            <w:r w:rsidR="005445E5" w:rsidRPr="00650BD4">
              <w:rPr>
                <w:i/>
                <w:iCs/>
                <w:lang w:val="ro-RO"/>
              </w:rPr>
              <w:t xml:space="preserve"> funcțion</w:t>
            </w:r>
            <w:r w:rsidR="00D76FEE" w:rsidRPr="00650BD4">
              <w:rPr>
                <w:i/>
                <w:iCs/>
                <w:lang w:val="ro-RO"/>
              </w:rPr>
              <w:t>area</w:t>
            </w:r>
            <w:r w:rsidR="005445E5" w:rsidRPr="00650BD4">
              <w:rPr>
                <w:i/>
                <w:iCs/>
                <w:lang w:val="ro-RO"/>
              </w:rPr>
              <w:t xml:space="preserve"> </w:t>
            </w:r>
            <w:r w:rsidRPr="00650BD4">
              <w:rPr>
                <w:i/>
                <w:iCs/>
                <w:lang w:val="ro-RO"/>
              </w:rPr>
              <w:t>instrumentului de comparare a ofertelor</w:t>
            </w:r>
            <w:r w:rsidR="005445E5" w:rsidRPr="00650BD4">
              <w:rPr>
                <w:i/>
                <w:iCs/>
                <w:lang w:val="ro-RO"/>
              </w:rPr>
              <w:t xml:space="preserve"> </w:t>
            </w:r>
            <w:r w:rsidR="00AC0E85" w:rsidRPr="00650BD4">
              <w:rPr>
                <w:i/>
                <w:iCs/>
                <w:lang w:val="ro-RO"/>
              </w:rPr>
              <w:t>.</w:t>
            </w:r>
          </w:p>
          <w:p w14:paraId="74458563" w14:textId="0D9FBFD6" w:rsidR="00113A6D" w:rsidRPr="00650BD4" w:rsidRDefault="00113A6D" w:rsidP="005A7B0A">
            <w:pPr>
              <w:pStyle w:val="NormalWeb"/>
              <w:tabs>
                <w:tab w:val="left" w:pos="487"/>
              </w:tabs>
              <w:snapToGrid w:val="0"/>
              <w:spacing w:before="0" w:beforeAutospacing="0" w:after="0" w:afterAutospacing="0" w:line="276" w:lineRule="auto"/>
              <w:ind w:right="64" w:firstLine="487"/>
              <w:jc w:val="both"/>
              <w:rPr>
                <w:i/>
                <w:iCs/>
                <w:lang w:val="ro-RO"/>
              </w:rPr>
            </w:pPr>
            <w:r w:rsidRPr="00650BD4">
              <w:rPr>
                <w:lang w:val="ro-RO"/>
              </w:rPr>
              <w:t xml:space="preserve">Furnizorul poate să rezoluționeze unilateral contractul de furnizare a gazelor naturale încheiat cu consumatorul final și să solicite operatorului de sistem deconectarea instalaţiilor de gaze naturale ale consumatorului final pentru locul de consum respectiv, în cazul depunerii declarației </w:t>
            </w:r>
            <w:r w:rsidR="005A7B0A" w:rsidRPr="00650BD4">
              <w:rPr>
                <w:lang w:val="ro-RO"/>
              </w:rPr>
              <w:t>neveridice</w:t>
            </w:r>
            <w:r w:rsidRPr="00650BD4">
              <w:rPr>
                <w:lang w:val="ro-RO"/>
              </w:rPr>
              <w:t xml:space="preserve"> și/sau informațiilor false stabilite la pct. 11 din Regulament, la încheierea contractului de furnizare a gazelor naturale.</w:t>
            </w:r>
          </w:p>
          <w:p w14:paraId="4EFF0697" w14:textId="2A3337FD" w:rsidR="00271A93" w:rsidRPr="00650BD4" w:rsidRDefault="005445E5" w:rsidP="0041788D">
            <w:pPr>
              <w:pStyle w:val="NormalWeb"/>
              <w:snapToGrid w:val="0"/>
              <w:spacing w:before="0" w:beforeAutospacing="0" w:after="0" w:afterAutospacing="0" w:line="276" w:lineRule="auto"/>
              <w:ind w:firstLine="450"/>
              <w:jc w:val="both"/>
              <w:rPr>
                <w:lang w:val="ro-RO"/>
              </w:rPr>
            </w:pPr>
            <w:r w:rsidRPr="00650BD4">
              <w:rPr>
                <w:rStyle w:val="citation-340"/>
                <w:lang w:val="ro-RO"/>
              </w:rPr>
              <w:t xml:space="preserve">Piața gazelor naturale va fi dinamizată de </w:t>
            </w:r>
            <w:r w:rsidRPr="00650BD4">
              <w:rPr>
                <w:rStyle w:val="citation-340"/>
                <w:i/>
                <w:iCs/>
                <w:lang w:val="ro-RO"/>
              </w:rPr>
              <w:t>instrumentul electronic de comparare a ofertelor dezvoltat și administrat de ANRE</w:t>
            </w:r>
            <w:r w:rsidRPr="00650BD4">
              <w:rPr>
                <w:i/>
                <w:iCs/>
                <w:lang w:val="ro-RO"/>
              </w:rPr>
              <w:t>.</w:t>
            </w:r>
            <w:r w:rsidRPr="00650BD4">
              <w:rPr>
                <w:lang w:val="ro-RO"/>
              </w:rPr>
              <w:t xml:space="preserve"> </w:t>
            </w:r>
            <w:r w:rsidR="00D76FEE" w:rsidRPr="00650BD4">
              <w:rPr>
                <w:rStyle w:val="citation-337"/>
                <w:lang w:val="ro-RO"/>
              </w:rPr>
              <w:t xml:space="preserve">Instrumentul este destinat în mod special consumatorilor </w:t>
            </w:r>
            <w:r w:rsidR="00F50A83">
              <w:rPr>
                <w:rStyle w:val="citation-337"/>
                <w:lang w:val="ro-RO"/>
              </w:rPr>
              <w:t>finali</w:t>
            </w:r>
            <w:r w:rsidR="00D76FEE" w:rsidRPr="00650BD4">
              <w:rPr>
                <w:rStyle w:val="citation-337"/>
                <w:lang w:val="ro-RO"/>
              </w:rPr>
              <w:t>, adică segmentul de piață care în prezent are cea mai mică putere de negociere și acces limitat la informații</w:t>
            </w:r>
            <w:r w:rsidR="00D76FEE" w:rsidRPr="00650BD4">
              <w:rPr>
                <w:lang w:val="ro-RO"/>
              </w:rPr>
              <w:t xml:space="preserve">. </w:t>
            </w:r>
            <w:r w:rsidRPr="00650BD4">
              <w:rPr>
                <w:rStyle w:val="citation-339"/>
                <w:lang w:val="ro-RO"/>
              </w:rPr>
              <w:t>I</w:t>
            </w:r>
            <w:r w:rsidR="00271A93" w:rsidRPr="00650BD4">
              <w:rPr>
                <w:rStyle w:val="citation-339"/>
                <w:lang w:val="ro-RO"/>
              </w:rPr>
              <w:t>nstrumentul va garanta un tratament egal și nediscriminatoriu pentru toți furnizorii, fiind independent și gratuit</w:t>
            </w:r>
            <w:r w:rsidR="00271A93" w:rsidRPr="00650BD4">
              <w:rPr>
                <w:lang w:val="ro-RO"/>
              </w:rPr>
              <w:t xml:space="preserve">. </w:t>
            </w:r>
            <w:r w:rsidR="00271A93" w:rsidRPr="00650BD4">
              <w:rPr>
                <w:rStyle w:val="citation-338"/>
                <w:lang w:val="ro-RO"/>
              </w:rPr>
              <w:t>Acesta va centraliza și afișa toate ofertele relevante într-un format standardizat, permițând comparații rapide bazate pe criterii obiective, precum costul total anual estimat</w:t>
            </w:r>
            <w:r w:rsidR="00271A93" w:rsidRPr="00650BD4">
              <w:rPr>
                <w:lang w:val="ro-RO"/>
              </w:rPr>
              <w:t xml:space="preserve">. </w:t>
            </w:r>
          </w:p>
          <w:p w14:paraId="3266A7F2" w14:textId="09F79D7C" w:rsidR="00D76FEE" w:rsidRPr="00650BD4" w:rsidRDefault="00421302" w:rsidP="005A7B0A">
            <w:pPr>
              <w:pStyle w:val="NormalWeb"/>
              <w:snapToGrid w:val="0"/>
              <w:spacing w:before="0" w:beforeAutospacing="0" w:after="0" w:afterAutospacing="0"/>
              <w:ind w:firstLine="487"/>
              <w:jc w:val="both"/>
              <w:rPr>
                <w:lang w:val="ro-RO"/>
              </w:rPr>
            </w:pPr>
            <w:r w:rsidRPr="00650BD4">
              <w:rPr>
                <w:lang w:val="ro-RO"/>
              </w:rPr>
              <w:t>Acest</w:t>
            </w:r>
            <w:r w:rsidR="00D76FEE" w:rsidRPr="00650BD4">
              <w:rPr>
                <w:lang w:val="ro-RO"/>
              </w:rPr>
              <w:t xml:space="preserve"> instrument de reglementare</w:t>
            </w:r>
            <w:r w:rsidR="0043685C" w:rsidRPr="00650BD4">
              <w:rPr>
                <w:lang w:val="ro-RO"/>
              </w:rPr>
              <w:t xml:space="preserve"> și informare</w:t>
            </w:r>
            <w:r w:rsidR="00D76FEE" w:rsidRPr="00650BD4">
              <w:rPr>
                <w:lang w:val="ro-RO"/>
              </w:rPr>
              <w:t xml:space="preserve"> va servi drept un punct de referință clar și transparent pentru toți consumatorii. </w:t>
            </w:r>
            <w:r w:rsidR="00D76FEE" w:rsidRPr="00650BD4">
              <w:rPr>
                <w:rStyle w:val="citation-343"/>
                <w:lang w:val="ro-RO"/>
              </w:rPr>
              <w:t>Prin condiții prestabilite, un preț fix, oferta standardizată va permite oricărui consumator să evalueze rapid dacă o ofertă personalizată este mai avantajoasă decât acest standard de bază</w:t>
            </w:r>
            <w:r w:rsidR="00D76FEE" w:rsidRPr="00650BD4">
              <w:rPr>
                <w:lang w:val="ro-RO"/>
              </w:rPr>
              <w:t xml:space="preserve">.  </w:t>
            </w:r>
          </w:p>
          <w:p w14:paraId="0E6E46DE" w14:textId="604D6A2B" w:rsidR="005445E5" w:rsidRDefault="00D76FEE" w:rsidP="0041788D">
            <w:pPr>
              <w:pStyle w:val="NormalWeb"/>
              <w:snapToGrid w:val="0"/>
              <w:spacing w:before="0" w:beforeAutospacing="0" w:after="0" w:afterAutospacing="0" w:line="276" w:lineRule="auto"/>
              <w:ind w:firstLine="450"/>
              <w:jc w:val="both"/>
              <w:rPr>
                <w:lang w:val="ro-RO"/>
              </w:rPr>
            </w:pPr>
            <w:r w:rsidRPr="00650BD4">
              <w:rPr>
                <w:lang w:val="ro-RO"/>
              </w:rPr>
              <w:t xml:space="preserve">Pentru ANRE, centralizarea datelor din ofertele standardizate ale tuturor furnizorilor va permite crearea unui index de preț al pieței competitive, oferind o imagine clară asupra costului </w:t>
            </w:r>
            <w:r w:rsidRPr="00650BD4">
              <w:rPr>
                <w:lang w:val="ro-RO"/>
              </w:rPr>
              <w:lastRenderedPageBreak/>
              <w:t>gazelor naturale, decantat de elemente comerciale complexe, și un instrument de neprețuit pentru monitorizarea tendințelor pieței.</w:t>
            </w:r>
          </w:p>
          <w:p w14:paraId="733FA7F0" w14:textId="7E65309B" w:rsidR="009C614F" w:rsidRPr="00650BD4" w:rsidRDefault="009C614F" w:rsidP="0041788D">
            <w:pPr>
              <w:pStyle w:val="NormalWeb"/>
              <w:snapToGrid w:val="0"/>
              <w:spacing w:before="0" w:beforeAutospacing="0" w:after="0" w:afterAutospacing="0" w:line="276" w:lineRule="auto"/>
              <w:ind w:firstLine="450"/>
              <w:jc w:val="both"/>
              <w:rPr>
                <w:lang w:val="ro-RO"/>
              </w:rPr>
            </w:pPr>
            <w:r>
              <w:rPr>
                <w:lang w:val="ro-RO"/>
              </w:rPr>
              <w:t xml:space="preserve">La fel, Regulamentul prevede și posibilitatea încheierii contractelor de furnizare  a gazelor naturale în format electronic. </w:t>
            </w:r>
            <w:r w:rsidRPr="009C614F">
              <w:rPr>
                <w:iCs/>
                <w:color w:val="000000" w:themeColor="text1"/>
                <w:lang w:val="ro-RO"/>
              </w:rPr>
              <w:t>Contractul de furnizare a gazelor naturale poate fi încheiat în formă scrisă cu semnătură olografă sau la solicitarea consumatorului în formă electronică sub formă de document electronic cu semnătură electronică avansată calificată</w:t>
            </w:r>
          </w:p>
          <w:p w14:paraId="2E4ED1F1" w14:textId="3BD985E4" w:rsidR="005445E5" w:rsidRPr="00650BD4" w:rsidRDefault="005445E5" w:rsidP="0041788D">
            <w:pPr>
              <w:pStyle w:val="ListParagraph"/>
              <w:numPr>
                <w:ilvl w:val="0"/>
                <w:numId w:val="19"/>
              </w:numPr>
              <w:tabs>
                <w:tab w:val="left" w:pos="788"/>
              </w:tabs>
              <w:snapToGrid w:val="0"/>
              <w:spacing w:before="120" w:line="276" w:lineRule="auto"/>
              <w:ind w:left="0" w:firstLine="446"/>
              <w:jc w:val="both"/>
              <w:rPr>
                <w:rFonts w:cs="Times New Roman"/>
                <w:szCs w:val="24"/>
                <w:shd w:val="clear" w:color="auto" w:fill="FFFFFF"/>
              </w:rPr>
            </w:pPr>
            <w:r w:rsidRPr="00650BD4">
              <w:rPr>
                <w:rFonts w:cs="Times New Roman"/>
                <w:szCs w:val="24"/>
                <w:shd w:val="clear" w:color="auto" w:fill="FFFFFF"/>
              </w:rPr>
              <w:t xml:space="preserve">Modificările la </w:t>
            </w:r>
            <w:r w:rsidRPr="00650BD4">
              <w:rPr>
                <w:rFonts w:cs="Times New Roman"/>
                <w:b/>
                <w:bCs/>
                <w:szCs w:val="24"/>
                <w:shd w:val="clear" w:color="auto" w:fill="FFFFFF"/>
              </w:rPr>
              <w:t>Regulamentul privind procedura de schimbare a furnizorului de gaze naturale aprobat prin Hotărârea ANRE nr. 363/2020</w:t>
            </w:r>
            <w:r w:rsidRPr="00650BD4">
              <w:rPr>
                <w:rFonts w:cs="Times New Roman"/>
                <w:szCs w:val="24"/>
                <w:shd w:val="clear" w:color="auto" w:fill="FFFFFF"/>
              </w:rPr>
              <w:t xml:space="preserve"> se referă la:</w:t>
            </w:r>
          </w:p>
          <w:p w14:paraId="6F360332" w14:textId="779569D8" w:rsidR="005445E5" w:rsidRPr="00650BD4" w:rsidRDefault="005445E5" w:rsidP="00781056">
            <w:pPr>
              <w:tabs>
                <w:tab w:val="left" w:pos="567"/>
              </w:tabs>
              <w:snapToGrid w:val="0"/>
              <w:spacing w:line="276" w:lineRule="auto"/>
              <w:ind w:firstLine="450"/>
              <w:jc w:val="both"/>
              <w:rPr>
                <w:rFonts w:cs="Times New Roman"/>
                <w:szCs w:val="24"/>
              </w:rPr>
            </w:pPr>
            <w:r w:rsidRPr="00650BD4">
              <w:rPr>
                <w:rFonts w:cs="Times New Roman"/>
                <w:szCs w:val="24"/>
              </w:rPr>
              <w:t xml:space="preserve">Prevederile Regulamentului sunt adaptate la modificările operate </w:t>
            </w:r>
            <w:r w:rsidR="00D76FEE" w:rsidRPr="00650BD4">
              <w:rPr>
                <w:rFonts w:cs="Times New Roman"/>
                <w:szCs w:val="24"/>
              </w:rPr>
              <w:t>la</w:t>
            </w:r>
            <w:r w:rsidRPr="00650BD4">
              <w:rPr>
                <w:rFonts w:cs="Times New Roman"/>
                <w:szCs w:val="24"/>
              </w:rPr>
              <w:t xml:space="preserve"> Legea nr. 1</w:t>
            </w:r>
            <w:r w:rsidR="00D76FEE" w:rsidRPr="00650BD4">
              <w:rPr>
                <w:rFonts w:cs="Times New Roman"/>
                <w:szCs w:val="24"/>
              </w:rPr>
              <w:t>08/2016</w:t>
            </w:r>
            <w:r w:rsidRPr="00650BD4">
              <w:rPr>
                <w:rFonts w:cs="Times New Roman"/>
                <w:szCs w:val="24"/>
              </w:rPr>
              <w:t xml:space="preserve">. Astfel, </w:t>
            </w:r>
            <w:r w:rsidR="00D76FEE" w:rsidRPr="00650BD4">
              <w:rPr>
                <w:rFonts w:cs="Times New Roman"/>
                <w:szCs w:val="24"/>
              </w:rPr>
              <w:t>proiectul prevede excluderea</w:t>
            </w:r>
            <w:r w:rsidRPr="00650BD4">
              <w:rPr>
                <w:rFonts w:cs="Times New Roman"/>
                <w:szCs w:val="24"/>
              </w:rPr>
              <w:t xml:space="preserve"> un</w:t>
            </w:r>
            <w:r w:rsidR="00D76FEE" w:rsidRPr="00650BD4">
              <w:rPr>
                <w:rFonts w:cs="Times New Roman"/>
                <w:szCs w:val="24"/>
              </w:rPr>
              <w:t>or</w:t>
            </w:r>
            <w:r w:rsidRPr="00650BD4">
              <w:rPr>
                <w:rFonts w:cs="Times New Roman"/>
                <w:szCs w:val="24"/>
              </w:rPr>
              <w:t xml:space="preserve"> bariere </w:t>
            </w:r>
            <w:r w:rsidR="00D76FEE" w:rsidRPr="00650BD4">
              <w:rPr>
                <w:rFonts w:cs="Times New Roman"/>
                <w:szCs w:val="24"/>
              </w:rPr>
              <w:t>administrative</w:t>
            </w:r>
            <w:r w:rsidRPr="00650BD4">
              <w:rPr>
                <w:rFonts w:cs="Times New Roman"/>
                <w:szCs w:val="24"/>
              </w:rPr>
              <w:t xml:space="preserve"> identificate în procesul de schimbare a furnizorului de gaze naturale. Fiecare consumator final are dreptul la alegerea liberă şi la schimbarea furnizorului, cu condiția că și-a onorat obligațiile de plată a gazelor naturale consumate față de furnizorul actual sau </w:t>
            </w:r>
            <w:r w:rsidRPr="00650BD4">
              <w:rPr>
                <w:rFonts w:cs="Times New Roman"/>
                <w:i/>
                <w:iCs/>
                <w:szCs w:val="24"/>
              </w:rPr>
              <w:t>și-a reeșalonat aceste obligații de comun acord cu furnizorul actual</w:t>
            </w:r>
            <w:r w:rsidRPr="00650BD4">
              <w:rPr>
                <w:rFonts w:cs="Times New Roman"/>
                <w:szCs w:val="24"/>
              </w:rPr>
              <w:t>. La fel, a fost exclusă prevede</w:t>
            </w:r>
            <w:r w:rsidR="0043685C" w:rsidRPr="00650BD4">
              <w:rPr>
                <w:rFonts w:cs="Times New Roman"/>
                <w:szCs w:val="24"/>
              </w:rPr>
              <w:t>re</w:t>
            </w:r>
            <w:r w:rsidRPr="00650BD4">
              <w:rPr>
                <w:rFonts w:cs="Times New Roman"/>
                <w:szCs w:val="24"/>
              </w:rPr>
              <w:t>a care stabilea obligativitatea deținerii unui echipament de măsurare cu înregistrare orară de către consumatorul noncasnic care dorește sa-și schimbe furnizorul.</w:t>
            </w:r>
          </w:p>
          <w:p w14:paraId="28ACBBE1" w14:textId="538EB682" w:rsidR="00D76FEE" w:rsidRPr="00650BD4" w:rsidRDefault="00D76FEE" w:rsidP="0041788D">
            <w:pPr>
              <w:pStyle w:val="NormalWeb"/>
              <w:snapToGrid w:val="0"/>
              <w:spacing w:before="0" w:beforeAutospacing="0" w:after="0" w:afterAutospacing="0" w:line="276" w:lineRule="auto"/>
              <w:ind w:firstLine="450"/>
              <w:jc w:val="both"/>
              <w:rPr>
                <w:lang w:val="ro-RO"/>
              </w:rPr>
            </w:pPr>
            <w:r w:rsidRPr="00650BD4">
              <w:rPr>
                <w:rStyle w:val="citation-336"/>
                <w:lang w:val="ro-RO"/>
              </w:rPr>
              <w:t>În esență, proiectul va aduce mai multă transparență între relațiile consumator - furnizor, oferă instrumentele necesare pentru negocierea ofertelor, și  încurajează schimbarea furnizorilor de către consumatorii finali, stimulând concurența reală între furnizori.</w:t>
            </w:r>
          </w:p>
        </w:tc>
      </w:tr>
      <w:tr w:rsidR="00650BD4" w:rsidRPr="00650BD4" w14:paraId="345DCAFC" w14:textId="77777777" w:rsidTr="005A7B0A">
        <w:tc>
          <w:tcPr>
            <w:tcW w:w="9522" w:type="dxa"/>
          </w:tcPr>
          <w:p w14:paraId="5B284EA4" w14:textId="77777777" w:rsidR="0012211C" w:rsidRPr="00650BD4" w:rsidRDefault="0012211C" w:rsidP="0041788D">
            <w:pPr>
              <w:snapToGrid w:val="0"/>
              <w:spacing w:line="276" w:lineRule="auto"/>
              <w:ind w:firstLine="450"/>
              <w:rPr>
                <w:rFonts w:cs="Times New Roman"/>
                <w:b/>
                <w:i/>
                <w:szCs w:val="24"/>
              </w:rPr>
            </w:pPr>
            <w:r w:rsidRPr="00650BD4">
              <w:rPr>
                <w:rFonts w:cs="Times New Roman"/>
                <w:b/>
                <w:i/>
                <w:szCs w:val="24"/>
              </w:rPr>
              <w:lastRenderedPageBreak/>
              <w:t>3.2. Opțiunile alternative analizate și motivele pentru care acestea nu au fost luate în considerare</w:t>
            </w:r>
          </w:p>
        </w:tc>
      </w:tr>
      <w:tr w:rsidR="00650BD4" w:rsidRPr="00650BD4" w14:paraId="0A9E736C" w14:textId="77777777" w:rsidTr="005A7B0A">
        <w:tc>
          <w:tcPr>
            <w:tcW w:w="9522" w:type="dxa"/>
          </w:tcPr>
          <w:p w14:paraId="0D41047C" w14:textId="77777777" w:rsidR="00D70EF5" w:rsidRPr="00650BD4" w:rsidRDefault="00D70EF5" w:rsidP="0041788D">
            <w:pPr>
              <w:snapToGrid w:val="0"/>
              <w:spacing w:line="276" w:lineRule="auto"/>
              <w:ind w:firstLine="450"/>
              <w:outlineLvl w:val="2"/>
              <w:rPr>
                <w:rFonts w:eastAsia="Times New Roman" w:cs="Times New Roman"/>
                <w:b/>
                <w:bCs/>
                <w:szCs w:val="24"/>
              </w:rPr>
            </w:pPr>
            <w:r w:rsidRPr="00650BD4">
              <w:rPr>
                <w:rFonts w:eastAsia="Times New Roman" w:cs="Times New Roman"/>
                <w:b/>
                <w:bCs/>
                <w:szCs w:val="24"/>
              </w:rPr>
              <w:t>3.2.1. Menținerea sistemului actual (Opțiunea 1)</w:t>
            </w:r>
          </w:p>
          <w:p w14:paraId="50E006DC" w14:textId="1D1E0D2B" w:rsidR="005445E5" w:rsidRPr="00650BD4" w:rsidRDefault="00D76FEE"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În lipsa unei </w:t>
            </w:r>
            <w:r w:rsidR="005445E5" w:rsidRPr="00650BD4">
              <w:rPr>
                <w:rFonts w:eastAsia="Times New Roman" w:cs="Times New Roman"/>
                <w:szCs w:val="24"/>
              </w:rPr>
              <w:t>intervenții</w:t>
            </w:r>
            <w:r w:rsidRPr="00650BD4">
              <w:rPr>
                <w:rFonts w:eastAsia="Times New Roman" w:cs="Times New Roman"/>
                <w:szCs w:val="24"/>
              </w:rPr>
              <w:t>:</w:t>
            </w:r>
          </w:p>
          <w:p w14:paraId="76F6F84E" w14:textId="3807F40D" w:rsidR="005445E5" w:rsidRPr="00650BD4" w:rsidRDefault="00D76FEE" w:rsidP="0041788D">
            <w:pPr>
              <w:pStyle w:val="ListParagraph"/>
              <w:numPr>
                <w:ilvl w:val="0"/>
                <w:numId w:val="20"/>
              </w:numPr>
              <w:tabs>
                <w:tab w:val="left" w:pos="703"/>
                <w:tab w:val="left" w:pos="961"/>
              </w:tabs>
              <w:snapToGrid w:val="0"/>
              <w:spacing w:line="276" w:lineRule="auto"/>
              <w:ind w:left="0" w:firstLine="433"/>
              <w:jc w:val="both"/>
            </w:pPr>
            <w:r w:rsidRPr="00650BD4">
              <w:rPr>
                <w:rFonts w:cs="Times New Roman"/>
                <w:szCs w:val="24"/>
              </w:rPr>
              <w:t xml:space="preserve">Va duce la </w:t>
            </w:r>
            <w:r w:rsidR="005445E5" w:rsidRPr="00650BD4">
              <w:rPr>
                <w:rFonts w:cs="Times New Roman"/>
                <w:szCs w:val="24"/>
              </w:rPr>
              <w:t>riscul apariției unor interpretări neuniforme</w:t>
            </w:r>
            <w:r w:rsidRPr="00650BD4">
              <w:rPr>
                <w:rFonts w:cs="Times New Roman"/>
                <w:szCs w:val="24"/>
              </w:rPr>
              <w:t xml:space="preserve"> și</w:t>
            </w:r>
            <w:r w:rsidR="005445E5" w:rsidRPr="00650BD4">
              <w:rPr>
                <w:rFonts w:cs="Times New Roman"/>
                <w:szCs w:val="24"/>
              </w:rPr>
              <w:t xml:space="preserve"> al menținerii unor bariere nejustificate în accesul la piață și al diminuării transparenței pentru consumatorii finali.</w:t>
            </w:r>
          </w:p>
          <w:p w14:paraId="44476EB4" w14:textId="77777777" w:rsidR="005445E5" w:rsidRPr="00650BD4" w:rsidRDefault="005445E5" w:rsidP="0041788D">
            <w:pPr>
              <w:pStyle w:val="ListParagraph"/>
              <w:numPr>
                <w:ilvl w:val="0"/>
                <w:numId w:val="20"/>
              </w:numPr>
              <w:tabs>
                <w:tab w:val="left" w:pos="703"/>
                <w:tab w:val="left" w:pos="961"/>
              </w:tabs>
              <w:snapToGrid w:val="0"/>
              <w:spacing w:line="276" w:lineRule="auto"/>
              <w:ind w:left="0" w:firstLine="433"/>
              <w:jc w:val="both"/>
              <w:rPr>
                <w:rFonts w:cs="Times New Roman"/>
                <w:szCs w:val="24"/>
              </w:rPr>
            </w:pPr>
            <w:r w:rsidRPr="00650BD4">
              <w:rPr>
                <w:rFonts w:cs="Times New Roman"/>
                <w:szCs w:val="24"/>
              </w:rPr>
              <w:t xml:space="preserve">Nu vor fi stabilite condițiile specifice de furnizare a gazelor naturale pentru categoriile de consumatori finali care nu au dreptul de a beneficia de furnizarea gazelor naturale la prețuri reglementate, </w:t>
            </w:r>
          </w:p>
          <w:p w14:paraId="3D4476F0" w14:textId="77777777" w:rsidR="00D76FEE" w:rsidRPr="00650BD4" w:rsidRDefault="005445E5" w:rsidP="0041788D">
            <w:pPr>
              <w:pStyle w:val="ListParagraph"/>
              <w:numPr>
                <w:ilvl w:val="0"/>
                <w:numId w:val="20"/>
              </w:numPr>
              <w:tabs>
                <w:tab w:val="left" w:pos="703"/>
              </w:tabs>
              <w:ind w:left="0" w:firstLine="433"/>
              <w:jc w:val="both"/>
              <w:rPr>
                <w:rFonts w:cs="Times New Roman"/>
                <w:szCs w:val="24"/>
              </w:rPr>
            </w:pPr>
            <w:r w:rsidRPr="00650BD4">
              <w:rPr>
                <w:rFonts w:cs="Times New Roman"/>
                <w:szCs w:val="24"/>
              </w:rPr>
              <w:t>Nu vor fi înlăturate barierele în calea schimbării furnizorului de către consumatorii finali</w:t>
            </w:r>
            <w:r w:rsidR="00D76FEE" w:rsidRPr="00650BD4">
              <w:rPr>
                <w:rFonts w:cs="Times New Roman"/>
                <w:szCs w:val="24"/>
              </w:rPr>
              <w:t>;</w:t>
            </w:r>
          </w:p>
          <w:p w14:paraId="7EFA492A" w14:textId="6FBA8394" w:rsidR="00D70EF5" w:rsidRPr="00650BD4" w:rsidRDefault="00D76FEE" w:rsidP="0041788D">
            <w:pPr>
              <w:pStyle w:val="ListParagraph"/>
              <w:numPr>
                <w:ilvl w:val="0"/>
                <w:numId w:val="20"/>
              </w:numPr>
              <w:tabs>
                <w:tab w:val="left" w:pos="703"/>
              </w:tabs>
              <w:ind w:left="0" w:firstLine="433"/>
              <w:jc w:val="both"/>
            </w:pPr>
            <w:r w:rsidRPr="00650BD4">
              <w:rPr>
                <w:rFonts w:cs="Times New Roman"/>
                <w:szCs w:val="24"/>
              </w:rPr>
              <w:t xml:space="preserve">Lipsa în prezent, a unui </w:t>
            </w:r>
            <w:r w:rsidRPr="00650BD4">
              <w:t>instrument de comparare a ofertelor administrat de ANRE</w:t>
            </w:r>
            <w:r w:rsidRPr="00650BD4">
              <w:rPr>
                <w:rFonts w:cs="Times New Roman"/>
                <w:szCs w:val="24"/>
              </w:rPr>
              <w:t xml:space="preserve"> face ca informațiile existente pe piață (privind contractele și ofertele) să fie fragmentate și greu accesibile, ceea ce descurajează/împiedică mobilitatea consumatorilor, precum și creează bariere indirecte pentru furnizorii noi</w:t>
            </w:r>
          </w:p>
          <w:p w14:paraId="62D5DE52" w14:textId="77777777" w:rsidR="00D70EF5" w:rsidRPr="00650BD4" w:rsidRDefault="00D70EF5" w:rsidP="0041788D">
            <w:pPr>
              <w:snapToGrid w:val="0"/>
              <w:spacing w:line="276" w:lineRule="auto"/>
              <w:ind w:firstLine="450"/>
              <w:outlineLvl w:val="2"/>
              <w:rPr>
                <w:rFonts w:eastAsia="Times New Roman" w:cs="Times New Roman"/>
                <w:b/>
                <w:bCs/>
                <w:szCs w:val="24"/>
              </w:rPr>
            </w:pPr>
            <w:r w:rsidRPr="00650BD4">
              <w:rPr>
                <w:rFonts w:eastAsia="Times New Roman" w:cs="Times New Roman"/>
                <w:b/>
                <w:bCs/>
                <w:szCs w:val="24"/>
              </w:rPr>
              <w:t xml:space="preserve">3.2.2 Adoptarea modificărilor propuse (Opțiunea 2 – soluția </w:t>
            </w:r>
            <w:r w:rsidR="00B65F21" w:rsidRPr="00650BD4">
              <w:rPr>
                <w:rFonts w:eastAsia="Times New Roman" w:cs="Times New Roman"/>
                <w:b/>
                <w:bCs/>
                <w:szCs w:val="24"/>
              </w:rPr>
              <w:t>propusă</w:t>
            </w:r>
            <w:r w:rsidRPr="00650BD4">
              <w:rPr>
                <w:rFonts w:eastAsia="Times New Roman" w:cs="Times New Roman"/>
                <w:b/>
                <w:bCs/>
                <w:szCs w:val="24"/>
              </w:rPr>
              <w:t>)</w:t>
            </w:r>
          </w:p>
          <w:p w14:paraId="41BED89D" w14:textId="4B36EC2F" w:rsidR="00D70EF5" w:rsidRPr="00650BD4" w:rsidRDefault="00D70EF5"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Soluția propusă constă în introducerea </w:t>
            </w:r>
            <w:r w:rsidR="00B65F21" w:rsidRPr="00650BD4">
              <w:rPr>
                <w:rFonts w:eastAsia="Times New Roman" w:cs="Times New Roman"/>
                <w:szCs w:val="24"/>
              </w:rPr>
              <w:t xml:space="preserve">conceptului și produsului de </w:t>
            </w:r>
            <w:r w:rsidR="00B65F21" w:rsidRPr="00650BD4">
              <w:rPr>
                <w:rFonts w:eastAsia="Times New Roman" w:cs="Times New Roman"/>
                <w:i/>
                <w:szCs w:val="24"/>
              </w:rPr>
              <w:t xml:space="preserve">„ofertă </w:t>
            </w:r>
            <w:r w:rsidR="005445E5" w:rsidRPr="00650BD4">
              <w:rPr>
                <w:rFonts w:eastAsia="Times New Roman" w:cs="Times New Roman"/>
                <w:i/>
                <w:szCs w:val="24"/>
              </w:rPr>
              <w:t>la preț fix și perioadă determinată</w:t>
            </w:r>
            <w:r w:rsidR="00B65F21" w:rsidRPr="00650BD4">
              <w:rPr>
                <w:rFonts w:eastAsia="Times New Roman" w:cs="Times New Roman"/>
                <w:i/>
                <w:szCs w:val="24"/>
              </w:rPr>
              <w:t>”</w:t>
            </w:r>
            <w:r w:rsidRPr="00650BD4">
              <w:rPr>
                <w:rFonts w:eastAsia="Times New Roman" w:cs="Times New Roman"/>
                <w:szCs w:val="24"/>
              </w:rPr>
              <w:t xml:space="preserve"> și</w:t>
            </w:r>
            <w:r w:rsidR="00B65F21" w:rsidRPr="00650BD4">
              <w:rPr>
                <w:rFonts w:eastAsia="Times New Roman" w:cs="Times New Roman"/>
                <w:szCs w:val="24"/>
              </w:rPr>
              <w:t xml:space="preserve"> dezvoltarea </w:t>
            </w:r>
            <w:r w:rsidRPr="00650BD4">
              <w:rPr>
                <w:rFonts w:eastAsia="Times New Roman" w:cs="Times New Roman"/>
                <w:szCs w:val="24"/>
              </w:rPr>
              <w:t xml:space="preserve">comparatorului </w:t>
            </w:r>
            <w:r w:rsidR="005445E5" w:rsidRPr="00650BD4">
              <w:rPr>
                <w:rFonts w:eastAsia="Times New Roman" w:cs="Times New Roman"/>
                <w:szCs w:val="24"/>
              </w:rPr>
              <w:t>de prețuri</w:t>
            </w:r>
            <w:r w:rsidRPr="00650BD4">
              <w:rPr>
                <w:rFonts w:eastAsia="Times New Roman" w:cs="Times New Roman"/>
                <w:szCs w:val="24"/>
              </w:rPr>
              <w:t xml:space="preserve">. Oferta </w:t>
            </w:r>
            <w:r w:rsidR="00D76FEE" w:rsidRPr="00650BD4">
              <w:rPr>
                <w:rFonts w:eastAsia="Times New Roman" w:cs="Times New Roman"/>
                <w:szCs w:val="24"/>
              </w:rPr>
              <w:t xml:space="preserve">la preț fix </w:t>
            </w:r>
            <w:r w:rsidRPr="00650BD4">
              <w:rPr>
                <w:rFonts w:eastAsia="Times New Roman" w:cs="Times New Roman"/>
                <w:szCs w:val="24"/>
              </w:rPr>
              <w:t xml:space="preserve">va constitui un punct de referință, oferind consumatorilor garanția unor condiții minime, echitabile și comparabile. Comparatorul electronic va centraliza și afișa toate ofertele furnizorilor, într-un format </w:t>
            </w:r>
            <w:r w:rsidR="0017076C" w:rsidRPr="00650BD4">
              <w:rPr>
                <w:rFonts w:eastAsia="Times New Roman" w:cs="Times New Roman"/>
                <w:szCs w:val="24"/>
              </w:rPr>
              <w:t>tipizat</w:t>
            </w:r>
            <w:r w:rsidRPr="00650BD4">
              <w:rPr>
                <w:rFonts w:eastAsia="Times New Roman" w:cs="Times New Roman"/>
                <w:szCs w:val="24"/>
              </w:rPr>
              <w:t xml:space="preserve"> și neutru.</w:t>
            </w:r>
          </w:p>
          <w:p w14:paraId="5188DD4B" w14:textId="03044A78" w:rsidR="0012211C" w:rsidRPr="00650BD4" w:rsidRDefault="00D70EF5" w:rsidP="0041788D">
            <w:pPr>
              <w:snapToGrid w:val="0"/>
              <w:spacing w:line="276" w:lineRule="auto"/>
              <w:ind w:firstLine="450"/>
              <w:jc w:val="both"/>
              <w:rPr>
                <w:rFonts w:cs="Times New Roman"/>
                <w:szCs w:val="24"/>
              </w:rPr>
            </w:pPr>
            <w:r w:rsidRPr="00650BD4">
              <w:rPr>
                <w:rFonts w:eastAsia="Times New Roman" w:cs="Times New Roman"/>
                <w:szCs w:val="24"/>
              </w:rPr>
              <w:t xml:space="preserve">Această soluție asigură conformitatea cu Legea nr. 108/2016, dar și alinierea la bunele practici europene. Exemplele din </w:t>
            </w:r>
            <w:r w:rsidRPr="003C2EC7">
              <w:rPr>
                <w:rFonts w:eastAsia="Times New Roman" w:cs="Times New Roman"/>
                <w:bCs/>
                <w:szCs w:val="24"/>
              </w:rPr>
              <w:t>Austria</w:t>
            </w:r>
            <w:r w:rsidRPr="003C2EC7">
              <w:rPr>
                <w:rFonts w:eastAsia="Times New Roman" w:cs="Times New Roman"/>
                <w:szCs w:val="24"/>
              </w:rPr>
              <w:t xml:space="preserve"> (E-Control), </w:t>
            </w:r>
            <w:r w:rsidRPr="003C2EC7">
              <w:rPr>
                <w:rFonts w:eastAsia="Times New Roman" w:cs="Times New Roman"/>
                <w:bCs/>
                <w:szCs w:val="24"/>
              </w:rPr>
              <w:t>Germania</w:t>
            </w:r>
            <w:r w:rsidRPr="003C2EC7">
              <w:rPr>
                <w:rFonts w:eastAsia="Times New Roman" w:cs="Times New Roman"/>
                <w:szCs w:val="24"/>
              </w:rPr>
              <w:t xml:space="preserve"> și </w:t>
            </w:r>
            <w:r w:rsidRPr="003C2EC7">
              <w:rPr>
                <w:rFonts w:eastAsia="Times New Roman" w:cs="Times New Roman"/>
                <w:bCs/>
                <w:szCs w:val="24"/>
              </w:rPr>
              <w:t>România</w:t>
            </w:r>
            <w:r w:rsidRPr="00650BD4">
              <w:rPr>
                <w:rFonts w:eastAsia="Times New Roman" w:cs="Times New Roman"/>
                <w:szCs w:val="24"/>
              </w:rPr>
              <w:t xml:space="preserve"> arată că platformele oficiale de comparare a ofertelor sunt</w:t>
            </w:r>
            <w:bookmarkStart w:id="0" w:name="_GoBack"/>
            <w:bookmarkEnd w:id="0"/>
            <w:r w:rsidRPr="00650BD4">
              <w:rPr>
                <w:rFonts w:eastAsia="Times New Roman" w:cs="Times New Roman"/>
                <w:szCs w:val="24"/>
              </w:rPr>
              <w:t xml:space="preserve"> factori esențiali pentru liberalizarea efectivă a piețelor de energie.</w:t>
            </w:r>
          </w:p>
        </w:tc>
      </w:tr>
      <w:tr w:rsidR="00650BD4" w:rsidRPr="00650BD4" w14:paraId="5A7EF3F0" w14:textId="77777777" w:rsidTr="005A7B0A">
        <w:tc>
          <w:tcPr>
            <w:tcW w:w="9522" w:type="dxa"/>
          </w:tcPr>
          <w:p w14:paraId="7BBE9C4B" w14:textId="77777777" w:rsidR="0012211C" w:rsidRPr="00650BD4" w:rsidRDefault="0012211C" w:rsidP="0041788D">
            <w:pPr>
              <w:snapToGrid w:val="0"/>
              <w:spacing w:line="276" w:lineRule="auto"/>
              <w:ind w:firstLine="450"/>
              <w:rPr>
                <w:rFonts w:cs="Times New Roman"/>
                <w:b/>
                <w:bCs/>
                <w:szCs w:val="24"/>
              </w:rPr>
            </w:pPr>
            <w:r w:rsidRPr="00650BD4">
              <w:rPr>
                <w:rFonts w:cs="Times New Roman"/>
                <w:b/>
                <w:bCs/>
                <w:szCs w:val="24"/>
              </w:rPr>
              <w:t>4.Analiza impactului de reglementare</w:t>
            </w:r>
          </w:p>
        </w:tc>
      </w:tr>
      <w:tr w:rsidR="00650BD4" w:rsidRPr="00650BD4" w14:paraId="502587BB" w14:textId="77777777" w:rsidTr="005A7B0A">
        <w:tc>
          <w:tcPr>
            <w:tcW w:w="9522" w:type="dxa"/>
          </w:tcPr>
          <w:p w14:paraId="5361206B" w14:textId="77777777" w:rsidR="0012211C" w:rsidRPr="00650BD4" w:rsidRDefault="0012211C" w:rsidP="0041788D">
            <w:pPr>
              <w:tabs>
                <w:tab w:val="left" w:pos="4309"/>
              </w:tabs>
              <w:snapToGrid w:val="0"/>
              <w:spacing w:line="276" w:lineRule="auto"/>
              <w:ind w:firstLine="450"/>
              <w:rPr>
                <w:rFonts w:cs="Times New Roman"/>
                <w:b/>
                <w:i/>
                <w:szCs w:val="24"/>
              </w:rPr>
            </w:pPr>
            <w:r w:rsidRPr="00650BD4">
              <w:rPr>
                <w:rFonts w:cs="Times New Roman"/>
                <w:b/>
                <w:i/>
                <w:szCs w:val="24"/>
              </w:rPr>
              <w:t>4.1. Impactul asupra sectorului public</w:t>
            </w:r>
          </w:p>
        </w:tc>
      </w:tr>
      <w:tr w:rsidR="00650BD4" w:rsidRPr="00650BD4" w14:paraId="2674522F" w14:textId="77777777" w:rsidTr="005A7B0A">
        <w:tc>
          <w:tcPr>
            <w:tcW w:w="9522" w:type="dxa"/>
          </w:tcPr>
          <w:p w14:paraId="4AD4E920" w14:textId="3E145618" w:rsidR="001C602D" w:rsidRPr="00650BD4" w:rsidRDefault="001C602D" w:rsidP="0041788D">
            <w:pPr>
              <w:spacing w:line="276" w:lineRule="auto"/>
              <w:ind w:firstLine="450"/>
              <w:jc w:val="both"/>
              <w:rPr>
                <w:rFonts w:eastAsia="Times New Roman" w:cs="Times New Roman"/>
                <w:szCs w:val="24"/>
              </w:rPr>
            </w:pPr>
            <w:r w:rsidRPr="00650BD4">
              <w:rPr>
                <w:rFonts w:eastAsia="Times New Roman" w:cs="Times New Roman"/>
                <w:szCs w:val="24"/>
              </w:rPr>
              <w:lastRenderedPageBreak/>
              <w:t xml:space="preserve">Se estimează că peste 95% dintre consumatorii casnici și peste 85% dintre IMM-uri intră în categoria &lt;100 000 kWh/an și, prin urmare, vor beneficia direct de noile prevederi. Această proporție poate fi observată clar în </w:t>
            </w:r>
            <w:r w:rsidR="00EF402B" w:rsidRPr="00650BD4">
              <w:rPr>
                <w:rFonts w:eastAsia="Times New Roman" w:cs="Times New Roman"/>
                <w:szCs w:val="24"/>
              </w:rPr>
              <w:t>f</w:t>
            </w:r>
            <w:r w:rsidRPr="00650BD4">
              <w:rPr>
                <w:rFonts w:eastAsia="Times New Roman" w:cs="Times New Roman"/>
                <w:szCs w:val="24"/>
              </w:rPr>
              <w:t xml:space="preserve">igura </w:t>
            </w:r>
            <w:r w:rsidR="00EF402B" w:rsidRPr="00650BD4">
              <w:rPr>
                <w:rFonts w:eastAsia="Times New Roman" w:cs="Times New Roman"/>
                <w:szCs w:val="24"/>
              </w:rPr>
              <w:t>de mai jos</w:t>
            </w:r>
            <w:r w:rsidRPr="00650BD4">
              <w:rPr>
                <w:rFonts w:eastAsia="Times New Roman" w:cs="Times New Roman"/>
                <w:szCs w:val="24"/>
              </w:rPr>
              <w:t xml:space="preserve">, unde se evidențiază concentrarea covârșitoare a consumatorilor în segmentele mici de consum. În acest context, introducerea ofertei </w:t>
            </w:r>
            <w:r w:rsidR="005445E5" w:rsidRPr="00650BD4">
              <w:rPr>
                <w:rFonts w:eastAsia="Times New Roman" w:cs="Times New Roman"/>
                <w:szCs w:val="24"/>
              </w:rPr>
              <w:t xml:space="preserve">de preț fix pe perioadă determinată </w:t>
            </w:r>
            <w:r w:rsidRPr="00650BD4">
              <w:rPr>
                <w:rFonts w:eastAsia="Times New Roman" w:cs="Times New Roman"/>
                <w:szCs w:val="24"/>
              </w:rPr>
              <w:t>și a comparatorului electronic este cu atât mai justificată, întrucât vizează segmentul de consumatori cel mai numeros și cel mai vulnerabil la lipsa de transparență.</w:t>
            </w:r>
          </w:p>
          <w:p w14:paraId="65004272" w14:textId="1F6C25E8" w:rsidR="001C602D" w:rsidRPr="00650BD4" w:rsidRDefault="001C602D" w:rsidP="0041788D">
            <w:pPr>
              <w:snapToGrid w:val="0"/>
              <w:spacing w:line="276" w:lineRule="auto"/>
              <w:ind w:firstLine="450"/>
              <w:jc w:val="center"/>
              <w:rPr>
                <w:rFonts w:eastAsia="Times New Roman" w:cs="Times New Roman"/>
                <w:szCs w:val="24"/>
              </w:rPr>
            </w:pPr>
            <w:r w:rsidRPr="00650BD4">
              <w:rPr>
                <w:rFonts w:eastAsia="Times New Roman" w:cs="Times New Roman"/>
                <w:noProof/>
                <w:szCs w:val="24"/>
                <w:lang w:val="en-US"/>
              </w:rPr>
              <w:drawing>
                <wp:inline distT="0" distB="0" distL="0" distR="0" wp14:anchorId="3E8B1A60" wp14:editId="6A6A9A1B">
                  <wp:extent cx="3383909" cy="2510475"/>
                  <wp:effectExtent l="76200" t="101600" r="83820" b="131445"/>
                  <wp:docPr id="6" name="Picture 6" descr="D:\! ANRE 2025\! Proiect - Modificarea Regulamentul furnizare GN\outpu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ANRE 2025\! Proiect - Modificarea Regulamentul furnizare GN\output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7205" cy="25722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E05CD55" w14:textId="3DC76E9B" w:rsidR="00D76FEE" w:rsidRPr="00650BD4" w:rsidRDefault="001C602D" w:rsidP="00D76FEE">
            <w:pPr>
              <w:spacing w:line="276" w:lineRule="auto"/>
              <w:ind w:firstLine="450"/>
              <w:jc w:val="both"/>
              <w:rPr>
                <w:rFonts w:cs="Times New Roman"/>
                <w:szCs w:val="24"/>
              </w:rPr>
            </w:pPr>
            <w:r w:rsidRPr="00650BD4">
              <w:rPr>
                <w:rFonts w:cs="Times New Roman"/>
                <w:szCs w:val="24"/>
              </w:rPr>
              <w:t xml:space="preserve">Impactul social considerăm că va fi și el considerabil, ținând cont de faptul că ofertele transparente și contractele la preț fix reduc riscul de dezechilibru bugetar </w:t>
            </w:r>
            <w:r w:rsidR="00D76FEE" w:rsidRPr="00650BD4">
              <w:rPr>
                <w:rFonts w:cs="Times New Roman"/>
                <w:szCs w:val="24"/>
              </w:rPr>
              <w:t>pentru</w:t>
            </w:r>
            <w:r w:rsidRPr="00650BD4">
              <w:rPr>
                <w:rFonts w:cs="Times New Roman"/>
                <w:szCs w:val="24"/>
              </w:rPr>
              <w:t xml:space="preserve"> </w:t>
            </w:r>
            <w:r w:rsidR="005445E5" w:rsidRPr="00650BD4">
              <w:rPr>
                <w:rFonts w:cs="Times New Roman"/>
                <w:szCs w:val="24"/>
              </w:rPr>
              <w:t>consumatorii</w:t>
            </w:r>
            <w:r w:rsidRPr="00650BD4">
              <w:rPr>
                <w:rFonts w:cs="Times New Roman"/>
                <w:szCs w:val="24"/>
              </w:rPr>
              <w:t xml:space="preserve"> </w:t>
            </w:r>
            <w:r w:rsidR="00D76FEE" w:rsidRPr="00650BD4">
              <w:rPr>
                <w:rFonts w:cs="Times New Roman"/>
                <w:szCs w:val="24"/>
              </w:rPr>
              <w:t>finali</w:t>
            </w:r>
            <w:r w:rsidRPr="00650BD4">
              <w:rPr>
                <w:rFonts w:cs="Times New Roman"/>
                <w:szCs w:val="24"/>
              </w:rPr>
              <w:t xml:space="preserve">, mai ales în perioadele de volatilitate a prețurilor. </w:t>
            </w:r>
          </w:p>
          <w:p w14:paraId="20ACF65F" w14:textId="2595163B" w:rsidR="00D76FEE" w:rsidRPr="00650BD4" w:rsidRDefault="00A7182E" w:rsidP="0041788D">
            <w:pPr>
              <w:snapToGrid w:val="0"/>
              <w:spacing w:after="120" w:line="276" w:lineRule="auto"/>
              <w:ind w:firstLine="446"/>
              <w:jc w:val="both"/>
              <w:rPr>
                <w:rFonts w:eastAsia="Times New Roman" w:cs="Times New Roman"/>
                <w:szCs w:val="24"/>
              </w:rPr>
            </w:pPr>
            <w:r w:rsidRPr="00650BD4">
              <w:rPr>
                <w:rFonts w:eastAsia="Times New Roman" w:cs="Times New Roman"/>
                <w:szCs w:val="24"/>
              </w:rPr>
              <w:t>Totodată, ANRE va dispune de un nou instrument de monitorizare și analiză a pieței, prin intermediul comparatorului ofertelor furnizorilor. Acesta va deveni o sursă importantă de date pentru elaborarea rapoartelor sectoriale și identificarea din timp a eventualelor abateri sau practici neloiale pe piață. Pe măsură ce piața gazelor naturale din Republica Moldova evoluează și cadrul legislativ se aliniază tot mai mult la acquis-ul comunitar, rolul ANRE se va orienta tot mai pronunțat către monitorizar</w:t>
            </w:r>
            <w:r w:rsidR="005445E5" w:rsidRPr="00650BD4">
              <w:rPr>
                <w:rFonts w:eastAsia="Times New Roman" w:cs="Times New Roman"/>
                <w:szCs w:val="24"/>
              </w:rPr>
              <w:t>ea pieței</w:t>
            </w:r>
            <w:r w:rsidR="00D76FEE" w:rsidRPr="00650BD4">
              <w:rPr>
                <w:rFonts w:eastAsia="Times New Roman" w:cs="Times New Roman"/>
                <w:szCs w:val="24"/>
              </w:rPr>
              <w:t xml:space="preserve"> </w:t>
            </w:r>
            <w:r w:rsidRPr="00650BD4">
              <w:rPr>
                <w:rFonts w:eastAsia="Times New Roman" w:cs="Times New Roman"/>
                <w:szCs w:val="24"/>
              </w:rPr>
              <w:t xml:space="preserve">bazată pe indicatori și </w:t>
            </w:r>
            <w:r w:rsidR="00D55066" w:rsidRPr="00650BD4">
              <w:rPr>
                <w:rFonts w:eastAsia="Times New Roman" w:cs="Times New Roman"/>
                <w:szCs w:val="24"/>
              </w:rPr>
              <w:t>date</w:t>
            </w:r>
            <w:r w:rsidRPr="00650BD4">
              <w:rPr>
                <w:rFonts w:eastAsia="Times New Roman" w:cs="Times New Roman"/>
                <w:szCs w:val="24"/>
              </w:rPr>
              <w:t xml:space="preserve"> specifice </w:t>
            </w:r>
            <w:r w:rsidR="00D55066" w:rsidRPr="00650BD4">
              <w:rPr>
                <w:rFonts w:eastAsia="Times New Roman" w:cs="Times New Roman"/>
                <w:szCs w:val="24"/>
              </w:rPr>
              <w:t xml:space="preserve">de </w:t>
            </w:r>
            <w:r w:rsidRPr="00650BD4">
              <w:rPr>
                <w:rFonts w:eastAsia="Times New Roman" w:cs="Times New Roman"/>
                <w:szCs w:val="24"/>
              </w:rPr>
              <w:t>pi</w:t>
            </w:r>
            <w:r w:rsidR="00D55066" w:rsidRPr="00650BD4">
              <w:rPr>
                <w:rFonts w:eastAsia="Times New Roman" w:cs="Times New Roman"/>
                <w:szCs w:val="24"/>
              </w:rPr>
              <w:t>a</w:t>
            </w:r>
            <w:r w:rsidRPr="00650BD4">
              <w:rPr>
                <w:rFonts w:eastAsia="Times New Roman" w:cs="Times New Roman"/>
                <w:szCs w:val="24"/>
              </w:rPr>
              <w:t>ț</w:t>
            </w:r>
            <w:r w:rsidR="00D55066" w:rsidRPr="00650BD4">
              <w:rPr>
                <w:rFonts w:eastAsia="Times New Roman" w:cs="Times New Roman"/>
                <w:szCs w:val="24"/>
              </w:rPr>
              <w:t>ă</w:t>
            </w:r>
            <w:r w:rsidRPr="00650BD4">
              <w:rPr>
                <w:rFonts w:eastAsia="Times New Roman" w:cs="Times New Roman"/>
                <w:szCs w:val="24"/>
              </w:rPr>
              <w:t xml:space="preserve">. Implementarea acestor prevederi va permite formarea, în timp, a unei baze de date solide, care va sprijini activitatea de analiză, supraveghere și </w:t>
            </w:r>
            <w:r w:rsidR="00674F5B" w:rsidRPr="00650BD4">
              <w:rPr>
                <w:rFonts w:eastAsia="Times New Roman" w:cs="Times New Roman"/>
                <w:szCs w:val="24"/>
              </w:rPr>
              <w:t xml:space="preserve">de motivare a </w:t>
            </w:r>
            <w:r w:rsidRPr="00650BD4">
              <w:rPr>
                <w:rFonts w:eastAsia="Times New Roman" w:cs="Times New Roman"/>
                <w:szCs w:val="24"/>
              </w:rPr>
              <w:t>decizi</w:t>
            </w:r>
            <w:r w:rsidR="00674F5B" w:rsidRPr="00650BD4">
              <w:rPr>
                <w:rFonts w:eastAsia="Times New Roman" w:cs="Times New Roman"/>
                <w:szCs w:val="24"/>
              </w:rPr>
              <w:t>ilor de către</w:t>
            </w:r>
            <w:r w:rsidR="007463AA" w:rsidRPr="00650BD4">
              <w:rPr>
                <w:rFonts w:eastAsia="Times New Roman" w:cs="Times New Roman"/>
                <w:szCs w:val="24"/>
              </w:rPr>
              <w:t xml:space="preserve"> </w:t>
            </w:r>
            <w:r w:rsidR="00674F5B" w:rsidRPr="00650BD4">
              <w:rPr>
                <w:rFonts w:eastAsia="Times New Roman" w:cs="Times New Roman"/>
                <w:szCs w:val="24"/>
              </w:rPr>
              <w:t xml:space="preserve">specialiștii </w:t>
            </w:r>
            <w:r w:rsidR="00CC5E73" w:rsidRPr="00650BD4">
              <w:rPr>
                <w:rFonts w:eastAsia="Times New Roman" w:cs="Times New Roman"/>
                <w:szCs w:val="24"/>
              </w:rPr>
              <w:t>Agenției</w:t>
            </w:r>
            <w:r w:rsidRPr="00650BD4">
              <w:rPr>
                <w:rFonts w:eastAsia="Times New Roman" w:cs="Times New Roman"/>
                <w:szCs w:val="24"/>
              </w:rPr>
              <w:t>.</w:t>
            </w:r>
          </w:p>
        </w:tc>
      </w:tr>
      <w:tr w:rsidR="00650BD4" w:rsidRPr="00650BD4" w14:paraId="24E3BB66" w14:textId="77777777" w:rsidTr="005A7B0A">
        <w:tc>
          <w:tcPr>
            <w:tcW w:w="9522" w:type="dxa"/>
          </w:tcPr>
          <w:p w14:paraId="5781AD57" w14:textId="77777777" w:rsidR="0012211C" w:rsidRPr="00650BD4" w:rsidRDefault="0012211C" w:rsidP="0041788D">
            <w:pPr>
              <w:snapToGrid w:val="0"/>
              <w:spacing w:line="276" w:lineRule="auto"/>
              <w:ind w:firstLine="450"/>
              <w:rPr>
                <w:rFonts w:cs="Times New Roman"/>
                <w:szCs w:val="24"/>
              </w:rPr>
            </w:pPr>
            <w:r w:rsidRPr="00650BD4">
              <w:rPr>
                <w:rFonts w:cs="Times New Roman"/>
                <w:b/>
                <w:i/>
                <w:szCs w:val="24"/>
              </w:rPr>
              <w:t>4.2. Impactul financiar și argumentarea costurilor estimative</w:t>
            </w:r>
          </w:p>
        </w:tc>
      </w:tr>
      <w:tr w:rsidR="00650BD4" w:rsidRPr="00650BD4" w14:paraId="547979ED" w14:textId="77777777" w:rsidTr="005A7B0A">
        <w:tc>
          <w:tcPr>
            <w:tcW w:w="9522" w:type="dxa"/>
          </w:tcPr>
          <w:p w14:paraId="4F98F4E5" w14:textId="6382920C" w:rsidR="00EB4338" w:rsidRPr="00650BD4" w:rsidRDefault="00EB4338" w:rsidP="0041788D">
            <w:pPr>
              <w:snapToGrid w:val="0"/>
              <w:spacing w:line="276" w:lineRule="auto"/>
              <w:ind w:firstLine="450"/>
              <w:jc w:val="both"/>
              <w:rPr>
                <w:rFonts w:cs="Times New Roman"/>
                <w:szCs w:val="24"/>
              </w:rPr>
            </w:pPr>
            <w:r w:rsidRPr="00650BD4">
              <w:rPr>
                <w:rFonts w:cs="Times New Roman"/>
                <w:szCs w:val="24"/>
              </w:rPr>
              <w:t xml:space="preserve">Implementarea prevederilor </w:t>
            </w:r>
            <w:r w:rsidR="00D76FEE" w:rsidRPr="00650BD4">
              <w:rPr>
                <w:rFonts w:cs="Times New Roman"/>
                <w:szCs w:val="24"/>
              </w:rPr>
              <w:t xml:space="preserve">de modificare </w:t>
            </w:r>
            <w:r w:rsidRPr="00650BD4">
              <w:rPr>
                <w:rFonts w:cs="Times New Roman"/>
                <w:szCs w:val="24"/>
              </w:rPr>
              <w:t xml:space="preserve">va genera un impact financiar moderat, predominant asupra sectorului public, fiind caracterizate în primul rând prin eforturile de dezvoltare și administrare a instrumentului de comparare a ofertelor. Costurile asociate pot fi considerate rezonabile și justificate, având în vedere beneficiile pe termen lung pentru transparența pieței, stimularea concurenței și protecția consumatorilor. </w:t>
            </w:r>
          </w:p>
          <w:p w14:paraId="79873E99" w14:textId="2329D48A" w:rsidR="0012211C" w:rsidRPr="00650BD4" w:rsidRDefault="00EB4338" w:rsidP="006F4B7C">
            <w:pPr>
              <w:snapToGrid w:val="0"/>
              <w:spacing w:line="276" w:lineRule="auto"/>
              <w:ind w:firstLine="450"/>
              <w:jc w:val="both"/>
              <w:rPr>
                <w:rFonts w:cs="Times New Roman"/>
                <w:szCs w:val="24"/>
              </w:rPr>
            </w:pPr>
            <w:r w:rsidRPr="00650BD4">
              <w:rPr>
                <w:rFonts w:cs="Times New Roman"/>
                <w:szCs w:val="24"/>
              </w:rPr>
              <w:t xml:space="preserve">În ceea ce privește </w:t>
            </w:r>
            <w:r w:rsidRPr="00650BD4">
              <w:rPr>
                <w:rFonts w:cs="Times New Roman"/>
                <w:bCs/>
                <w:i/>
                <w:iCs/>
                <w:szCs w:val="24"/>
              </w:rPr>
              <w:t>efectul financiar asupra participanților la piață</w:t>
            </w:r>
            <w:r w:rsidRPr="00650BD4">
              <w:rPr>
                <w:rFonts w:cs="Times New Roman"/>
                <w:szCs w:val="24"/>
              </w:rPr>
              <w:t xml:space="preserve"> per ansamblu, nu se anticipează o influență semnificativă asupra acestora, deoarece majoritatea obligațiilor impuse furnizorilor prin amendamentele propuse implică activități administrative de rutină, cu costuri </w:t>
            </w:r>
            <w:r w:rsidR="00924247" w:rsidRPr="00650BD4">
              <w:rPr>
                <w:rFonts w:cs="Times New Roman"/>
                <w:szCs w:val="24"/>
              </w:rPr>
              <w:t>minimale</w:t>
            </w:r>
            <w:r w:rsidRPr="00650BD4">
              <w:rPr>
                <w:rFonts w:cs="Times New Roman"/>
                <w:szCs w:val="24"/>
              </w:rPr>
              <w:t xml:space="preserve">. </w:t>
            </w:r>
          </w:p>
        </w:tc>
      </w:tr>
      <w:tr w:rsidR="00650BD4" w:rsidRPr="00650BD4" w14:paraId="7633A598" w14:textId="77777777" w:rsidTr="005A7B0A">
        <w:tc>
          <w:tcPr>
            <w:tcW w:w="9522" w:type="dxa"/>
          </w:tcPr>
          <w:p w14:paraId="53476D29" w14:textId="77777777" w:rsidR="0012211C" w:rsidRPr="00650BD4" w:rsidRDefault="0012211C" w:rsidP="0041788D">
            <w:pPr>
              <w:snapToGrid w:val="0"/>
              <w:spacing w:line="276" w:lineRule="auto"/>
              <w:ind w:firstLine="450"/>
              <w:rPr>
                <w:rFonts w:cs="Times New Roman"/>
                <w:szCs w:val="24"/>
              </w:rPr>
            </w:pPr>
            <w:r w:rsidRPr="00650BD4">
              <w:rPr>
                <w:rFonts w:cs="Times New Roman"/>
                <w:b/>
                <w:i/>
                <w:szCs w:val="24"/>
              </w:rPr>
              <w:t>4.3 Impactul asupra sectorului privat</w:t>
            </w:r>
          </w:p>
        </w:tc>
      </w:tr>
      <w:tr w:rsidR="00650BD4" w:rsidRPr="00650BD4" w14:paraId="11D0A389" w14:textId="77777777" w:rsidTr="005A7B0A">
        <w:tc>
          <w:tcPr>
            <w:tcW w:w="9522" w:type="dxa"/>
          </w:tcPr>
          <w:p w14:paraId="3664A10B" w14:textId="5BE9D013" w:rsidR="0079153F" w:rsidRPr="00650BD4" w:rsidRDefault="0079153F" w:rsidP="0041788D">
            <w:pPr>
              <w:pStyle w:val="NoSpacing"/>
              <w:snapToGrid w:val="0"/>
              <w:spacing w:line="276" w:lineRule="auto"/>
              <w:ind w:firstLine="433"/>
              <w:jc w:val="both"/>
              <w:rPr>
                <w:rFonts w:cs="Times New Roman"/>
                <w:sz w:val="24"/>
                <w:szCs w:val="24"/>
              </w:rPr>
            </w:pPr>
            <w:r w:rsidRPr="00650BD4">
              <w:rPr>
                <w:rFonts w:cs="Times New Roman"/>
                <w:sz w:val="24"/>
                <w:szCs w:val="24"/>
              </w:rPr>
              <w:t>În ceea ce privește sectorul privat, impactul financiar asupra furnizorilor de gaze naturale va fi minim și predominant de natură administrativă, fără a genera costuri semnificative. Obligația de publicare a ofert</w:t>
            </w:r>
            <w:r w:rsidR="005445E5" w:rsidRPr="00650BD4">
              <w:rPr>
                <w:rFonts w:cs="Times New Roman"/>
                <w:sz w:val="24"/>
                <w:szCs w:val="24"/>
              </w:rPr>
              <w:t>elor la preț fix și perioadă determinată</w:t>
            </w:r>
            <w:r w:rsidR="00D76FEE" w:rsidRPr="00650BD4">
              <w:rPr>
                <w:rFonts w:cs="Times New Roman"/>
                <w:sz w:val="24"/>
                <w:szCs w:val="24"/>
              </w:rPr>
              <w:t xml:space="preserve"> </w:t>
            </w:r>
            <w:r w:rsidRPr="00650BD4">
              <w:rPr>
                <w:rFonts w:cs="Times New Roman"/>
                <w:sz w:val="24"/>
                <w:szCs w:val="24"/>
              </w:rPr>
              <w:t xml:space="preserve">pe paginile proprii de internet și </w:t>
            </w:r>
            <w:r w:rsidRPr="00650BD4">
              <w:rPr>
                <w:rFonts w:cs="Times New Roman"/>
                <w:sz w:val="24"/>
                <w:szCs w:val="24"/>
              </w:rPr>
              <w:lastRenderedPageBreak/>
              <w:t>transmiterea datelor către ANRE presupune adaptări minore la procesele existente de raportare</w:t>
            </w:r>
            <w:r w:rsidR="00D76FEE" w:rsidRPr="00650BD4">
              <w:rPr>
                <w:rFonts w:cs="Times New Roman"/>
                <w:sz w:val="24"/>
                <w:szCs w:val="24"/>
              </w:rPr>
              <w:t>.</w:t>
            </w:r>
            <w:r w:rsidRPr="00650BD4">
              <w:rPr>
                <w:rFonts w:cs="Times New Roman"/>
                <w:sz w:val="24"/>
                <w:szCs w:val="24"/>
              </w:rPr>
              <w:t xml:space="preserve"> Argumentul principal pentru lipsa impactului substanțial constă în faptul că furnizorii sunt deja obligați prin Legea nr. 108/2016 să publice informații comerciale transparente, iar noile prevederi doar urmăresc standardizează formatul, fără a introduce cerințe noi de colectare de date. </w:t>
            </w:r>
          </w:p>
          <w:p w14:paraId="4D830155" w14:textId="16CB877B" w:rsidR="0079153F" w:rsidRPr="00650BD4" w:rsidRDefault="0079153F" w:rsidP="0041788D">
            <w:pPr>
              <w:pStyle w:val="NoSpacing"/>
              <w:snapToGrid w:val="0"/>
              <w:spacing w:line="276" w:lineRule="auto"/>
              <w:ind w:firstLine="433"/>
              <w:jc w:val="both"/>
              <w:rPr>
                <w:rFonts w:cs="Times New Roman"/>
                <w:sz w:val="24"/>
                <w:szCs w:val="24"/>
              </w:rPr>
            </w:pPr>
            <w:r w:rsidRPr="00650BD4">
              <w:rPr>
                <w:rFonts w:cs="Times New Roman"/>
                <w:sz w:val="24"/>
                <w:szCs w:val="24"/>
              </w:rPr>
              <w:t xml:space="preserve">Mai mult, pe termen mediu, furnizorii vor beneficia de economii indirecte prin reducerea costurilor de marketing și atragere a </w:t>
            </w:r>
            <w:r w:rsidR="005445E5" w:rsidRPr="00650BD4">
              <w:rPr>
                <w:rFonts w:cs="Times New Roman"/>
                <w:sz w:val="24"/>
                <w:szCs w:val="24"/>
              </w:rPr>
              <w:t>consumatorilor</w:t>
            </w:r>
            <w:r w:rsidRPr="00650BD4">
              <w:rPr>
                <w:rFonts w:cs="Times New Roman"/>
                <w:sz w:val="24"/>
                <w:szCs w:val="24"/>
              </w:rPr>
              <w:t xml:space="preserve"> estimată la 10-15% din bugetele de promovare, odată cu vizibilitatea gratuită oferită de comparatorul</w:t>
            </w:r>
            <w:r w:rsidR="00D76FEE" w:rsidRPr="00650BD4">
              <w:rPr>
                <w:rFonts w:cs="Times New Roman"/>
                <w:sz w:val="24"/>
                <w:szCs w:val="24"/>
              </w:rPr>
              <w:t xml:space="preserve"> de prețuri.</w:t>
            </w:r>
          </w:p>
          <w:p w14:paraId="35D6E7A8" w14:textId="11728BD5" w:rsidR="0079153F" w:rsidRPr="00650BD4" w:rsidRDefault="0079153F" w:rsidP="0041788D">
            <w:pPr>
              <w:pStyle w:val="NoSpacing"/>
              <w:snapToGrid w:val="0"/>
              <w:spacing w:line="276" w:lineRule="auto"/>
              <w:ind w:firstLine="433"/>
              <w:jc w:val="both"/>
              <w:rPr>
                <w:rFonts w:cs="Times New Roman"/>
                <w:sz w:val="24"/>
                <w:szCs w:val="24"/>
              </w:rPr>
            </w:pPr>
            <w:r w:rsidRPr="00650BD4">
              <w:rPr>
                <w:rFonts w:cs="Times New Roman"/>
                <w:sz w:val="24"/>
                <w:szCs w:val="24"/>
              </w:rPr>
              <w:t xml:space="preserve">Pentru consumatori, impactul financiar direct este nul, deoarece accesul la oferta </w:t>
            </w:r>
            <w:r w:rsidR="00D76FEE" w:rsidRPr="00650BD4">
              <w:rPr>
                <w:rFonts w:cs="Times New Roman"/>
                <w:sz w:val="24"/>
                <w:szCs w:val="24"/>
              </w:rPr>
              <w:t xml:space="preserve">la preț fix, durată determinată </w:t>
            </w:r>
            <w:r w:rsidRPr="00650BD4">
              <w:rPr>
                <w:rFonts w:cs="Times New Roman"/>
                <w:sz w:val="24"/>
                <w:szCs w:val="24"/>
              </w:rPr>
              <w:t xml:space="preserve">și comparatorul </w:t>
            </w:r>
            <w:r w:rsidR="00D76FEE" w:rsidRPr="00650BD4">
              <w:rPr>
                <w:rFonts w:cs="Times New Roman"/>
                <w:sz w:val="24"/>
                <w:szCs w:val="24"/>
              </w:rPr>
              <w:t xml:space="preserve">de prețuri </w:t>
            </w:r>
            <w:r w:rsidRPr="00650BD4">
              <w:rPr>
                <w:rFonts w:cs="Times New Roman"/>
                <w:sz w:val="24"/>
                <w:szCs w:val="24"/>
              </w:rPr>
              <w:t xml:space="preserve">va fi </w:t>
            </w:r>
            <w:r w:rsidR="00450042" w:rsidRPr="00650BD4">
              <w:rPr>
                <w:rFonts w:cs="Times New Roman"/>
                <w:sz w:val="24"/>
                <w:szCs w:val="24"/>
              </w:rPr>
              <w:t xml:space="preserve">asigurată </w:t>
            </w:r>
            <w:r w:rsidRPr="00650BD4">
              <w:rPr>
                <w:rFonts w:cs="Times New Roman"/>
                <w:sz w:val="24"/>
                <w:szCs w:val="24"/>
              </w:rPr>
              <w:t xml:space="preserve">gratuit și </w:t>
            </w:r>
            <w:r w:rsidR="00450042" w:rsidRPr="00650BD4">
              <w:rPr>
                <w:rFonts w:cs="Times New Roman"/>
                <w:sz w:val="24"/>
                <w:szCs w:val="24"/>
              </w:rPr>
              <w:t>în format</w:t>
            </w:r>
            <w:r w:rsidRPr="00650BD4">
              <w:rPr>
                <w:rFonts w:cs="Times New Roman"/>
                <w:sz w:val="24"/>
                <w:szCs w:val="24"/>
              </w:rPr>
              <w:t xml:space="preserve">, fără taxe sau comisioane. </w:t>
            </w:r>
          </w:p>
          <w:p w14:paraId="618827F2" w14:textId="1736D825" w:rsidR="001C602D" w:rsidRPr="00650BD4" w:rsidRDefault="001C602D" w:rsidP="0041788D">
            <w:pPr>
              <w:pStyle w:val="NoSpacing"/>
              <w:snapToGrid w:val="0"/>
              <w:spacing w:line="276" w:lineRule="auto"/>
              <w:ind w:firstLine="433"/>
              <w:jc w:val="both"/>
              <w:rPr>
                <w:rFonts w:eastAsia="Times New Roman" w:cs="Times New Roman"/>
                <w:sz w:val="24"/>
                <w:szCs w:val="24"/>
              </w:rPr>
            </w:pPr>
            <w:r w:rsidRPr="00650BD4">
              <w:rPr>
                <w:rFonts w:eastAsia="Times New Roman" w:cs="Times New Roman"/>
                <w:sz w:val="24"/>
                <w:szCs w:val="24"/>
              </w:rPr>
              <w:t xml:space="preserve">Comparatorul electronic va funcționa, în esență, ca o platformă neutră de acces la piață, reducând drastic barierele de intrare pentru furnizorii noi. Un nou participant pe piață, fără un buget de marketing comparabil cu cel al furnizorului tradițional, </w:t>
            </w:r>
            <w:r w:rsidR="00AB2ABD" w:rsidRPr="00650BD4">
              <w:rPr>
                <w:rFonts w:eastAsia="Times New Roman" w:cs="Times New Roman"/>
                <w:sz w:val="24"/>
                <w:szCs w:val="24"/>
              </w:rPr>
              <w:t>va putea</w:t>
            </w:r>
            <w:r w:rsidRPr="00650BD4">
              <w:rPr>
                <w:rFonts w:eastAsia="Times New Roman" w:cs="Times New Roman"/>
                <w:sz w:val="24"/>
                <w:szCs w:val="24"/>
              </w:rPr>
              <w:t xml:space="preserve"> obține vizibilitate imediată și gratuită în fața a peste 90% dintre consumatori, doar prin simpla listare a unei oferte competitive. Platforma nivelează terenul de joc, permițând concurența bazată pe eficiență și preț, nu pe o putere de marketing. Pe termen mediu, pe măsură ce concurența pe preț se va intensifica, furnizorii vor fi stimulați să inoveze și să diferențieze produsele</w:t>
            </w:r>
            <w:r w:rsidR="005445E5" w:rsidRPr="00650BD4">
              <w:rPr>
                <w:rFonts w:eastAsia="Times New Roman" w:cs="Times New Roman"/>
                <w:sz w:val="24"/>
                <w:szCs w:val="24"/>
              </w:rPr>
              <w:t>.</w:t>
            </w:r>
          </w:p>
          <w:p w14:paraId="78B8DD81" w14:textId="0466F43D" w:rsidR="001C602D" w:rsidRPr="00650BD4" w:rsidRDefault="005445E5" w:rsidP="0041788D">
            <w:pPr>
              <w:pStyle w:val="NormalWeb"/>
              <w:spacing w:before="0" w:beforeAutospacing="0" w:line="276" w:lineRule="auto"/>
              <w:ind w:firstLine="433"/>
              <w:jc w:val="both"/>
              <w:rPr>
                <w:lang w:val="ro-RO"/>
              </w:rPr>
            </w:pPr>
            <w:r w:rsidRPr="00650BD4">
              <w:rPr>
                <w:lang w:val="ro-RO"/>
              </w:rPr>
              <w:t>Obligația de a înlocui echipamentul de măsurare înainte de schimbarea furnizorului generează pentru consumatori un</w:t>
            </w:r>
            <w:r w:rsidRPr="00650BD4">
              <w:rPr>
                <w:rStyle w:val="apple-converted-space"/>
                <w:lang w:val="ro-RO"/>
              </w:rPr>
              <w:t> </w:t>
            </w:r>
            <w:r w:rsidRPr="00650BD4">
              <w:rPr>
                <w:rStyle w:val="Strong"/>
                <w:b w:val="0"/>
                <w:bCs w:val="0"/>
                <w:lang w:val="ro-RO"/>
              </w:rPr>
              <w:t>cost inițial semnificativ</w:t>
            </w:r>
            <w:r w:rsidRPr="00650BD4">
              <w:rPr>
                <w:lang w:val="ro-RO"/>
              </w:rPr>
              <w:t>, care poate include: achiziția echipamentului de măsurare cu înregistrare orară, lucrări de instalare și punere în funcțiune, verificare metrologică inițială, alte costuri. Eliminarea acestei obligații conduce la</w:t>
            </w:r>
            <w:r w:rsidRPr="00650BD4">
              <w:rPr>
                <w:rStyle w:val="apple-converted-space"/>
                <w:lang w:val="ro-RO"/>
              </w:rPr>
              <w:t> </w:t>
            </w:r>
            <w:r w:rsidRPr="00650BD4">
              <w:rPr>
                <w:rStyle w:val="Strong"/>
                <w:b w:val="0"/>
                <w:bCs w:val="0"/>
                <w:lang w:val="ro-RO"/>
              </w:rPr>
              <w:t>reducerea costurilor directe suportate de consumatori</w:t>
            </w:r>
            <w:r w:rsidRPr="00650BD4">
              <w:rPr>
                <w:lang w:val="ro-RO"/>
              </w:rPr>
              <w:t>, în special pentru cei cu consumuri reduse sau medii, pentru care investiția nu este proporțională cu beneficiul economic al schimbării furnizorului.</w:t>
            </w:r>
          </w:p>
          <w:p w14:paraId="6716A269" w14:textId="77777777" w:rsidR="001C602D" w:rsidRPr="00650BD4" w:rsidRDefault="001C602D" w:rsidP="0041788D">
            <w:pPr>
              <w:snapToGrid w:val="0"/>
              <w:spacing w:line="276" w:lineRule="auto"/>
              <w:ind w:firstLine="433"/>
              <w:jc w:val="both"/>
              <w:outlineLvl w:val="2"/>
              <w:rPr>
                <w:rFonts w:eastAsia="Times New Roman" w:cs="Times New Roman"/>
                <w:b/>
                <w:bCs/>
                <w:szCs w:val="24"/>
              </w:rPr>
            </w:pPr>
            <w:r w:rsidRPr="00650BD4">
              <w:rPr>
                <w:rFonts w:eastAsia="Times New Roman" w:cs="Times New Roman"/>
                <w:b/>
                <w:bCs/>
                <w:szCs w:val="24"/>
              </w:rPr>
              <w:t>4.3.1. Impact asupra IMM-urilor</w:t>
            </w:r>
          </w:p>
          <w:p w14:paraId="38EF12C0" w14:textId="61B44570" w:rsidR="001C602D" w:rsidRPr="00650BD4" w:rsidRDefault="001C602D" w:rsidP="0041788D">
            <w:pPr>
              <w:snapToGrid w:val="0"/>
              <w:spacing w:line="276" w:lineRule="auto"/>
              <w:ind w:firstLine="433"/>
              <w:jc w:val="both"/>
            </w:pPr>
            <w:r w:rsidRPr="00650BD4">
              <w:rPr>
                <w:rFonts w:eastAsia="Times New Roman" w:cs="Times New Roman"/>
                <w:szCs w:val="24"/>
              </w:rPr>
              <w:t>Majoritatea IMM-urilor se încadrează în categoria consumatorilor cu &lt;100 000 kWh anual. Prin accesul la oferte clare și comparabile, acestea vor beneficia de predictibilitate în planificarea costurilor energetice și de oportunități de reducere a cheltuielilor. În plus, IMM-urile vor putea negocia condiții contractuale mai avantajoase pornind de la ofert</w:t>
            </w:r>
            <w:r w:rsidR="00F344C9" w:rsidRPr="00650BD4">
              <w:rPr>
                <w:rFonts w:eastAsia="Times New Roman" w:cs="Times New Roman"/>
                <w:szCs w:val="24"/>
              </w:rPr>
              <w:t>ele la preț fix</w:t>
            </w:r>
            <w:r w:rsidRPr="00650BD4">
              <w:rPr>
                <w:rFonts w:eastAsia="Times New Roman" w:cs="Times New Roman"/>
                <w:szCs w:val="24"/>
              </w:rPr>
              <w:t>.</w:t>
            </w:r>
          </w:p>
          <w:p w14:paraId="46AF2F95" w14:textId="35AC3BCD" w:rsidR="001C602D" w:rsidRPr="00650BD4" w:rsidRDefault="001C602D" w:rsidP="0041788D">
            <w:pPr>
              <w:pStyle w:val="NoSpacing"/>
              <w:snapToGrid w:val="0"/>
              <w:spacing w:line="276" w:lineRule="auto"/>
              <w:ind w:firstLine="433"/>
              <w:jc w:val="both"/>
              <w:rPr>
                <w:rFonts w:eastAsia="Times New Roman" w:cs="Times New Roman"/>
                <w:sz w:val="24"/>
                <w:szCs w:val="24"/>
              </w:rPr>
            </w:pPr>
            <w:r w:rsidRPr="00650BD4">
              <w:rPr>
                <w:rFonts w:eastAsia="Times New Roman" w:cs="Times New Roman"/>
                <w:sz w:val="24"/>
                <w:szCs w:val="24"/>
              </w:rPr>
              <w:t xml:space="preserve">Pentru a cuantifica impactul, putem imagina cazul unei brutării mici, cu un consum anual de 80 000 kWh și o factură de aproximativ 120 000 lei. Pentru un astfel de agent economic, predictibilitatea costurilor este una esențială. Oferta standardizată îi oferă o plasă de siguranță prin stabilitatea prețului, reducând riscul volatilității. În paralel, comparatorul </w:t>
            </w:r>
            <w:r w:rsidR="00F344C9" w:rsidRPr="00650BD4">
              <w:rPr>
                <w:rFonts w:eastAsia="Times New Roman" w:cs="Times New Roman"/>
                <w:sz w:val="24"/>
                <w:szCs w:val="24"/>
              </w:rPr>
              <w:t xml:space="preserve">de prețuri </w:t>
            </w:r>
            <w:r w:rsidRPr="00650BD4">
              <w:rPr>
                <w:rFonts w:eastAsia="Times New Roman" w:cs="Times New Roman"/>
                <w:sz w:val="24"/>
                <w:szCs w:val="24"/>
              </w:rPr>
              <w:t xml:space="preserve">îi permite să identifice rapid oferte mai bune. Proprietarul brutăriei descoperă trei furnizori competitivi și, folosind oferta standardizată ca bază de negociere, reușește să obțină un contract cu un preț mai mic. Economia anuală poate fi reinvestită în utilaje, personal sau </w:t>
            </w:r>
            <w:r w:rsidR="007E6E71" w:rsidRPr="00650BD4">
              <w:rPr>
                <w:rFonts w:eastAsia="Times New Roman" w:cs="Times New Roman"/>
                <w:sz w:val="24"/>
                <w:szCs w:val="24"/>
              </w:rPr>
              <w:t>dezvoltarea produselor, ceea ce ajută la</w:t>
            </w:r>
            <w:r w:rsidRPr="00650BD4">
              <w:rPr>
                <w:rFonts w:eastAsia="Times New Roman" w:cs="Times New Roman"/>
                <w:sz w:val="24"/>
                <w:szCs w:val="24"/>
              </w:rPr>
              <w:t xml:space="preserve"> competitivitatea și sustenabilitatea afacerii.</w:t>
            </w:r>
          </w:p>
          <w:p w14:paraId="49C14D2E" w14:textId="191928E4" w:rsidR="001C602D" w:rsidRPr="00650BD4" w:rsidRDefault="001C602D" w:rsidP="0041788D">
            <w:pPr>
              <w:pStyle w:val="NoSpacing"/>
              <w:snapToGrid w:val="0"/>
              <w:spacing w:line="276" w:lineRule="auto"/>
              <w:ind w:firstLine="433"/>
              <w:jc w:val="both"/>
              <w:rPr>
                <w:rFonts w:eastAsia="Times New Roman" w:cs="Times New Roman"/>
                <w:sz w:val="24"/>
                <w:szCs w:val="24"/>
              </w:rPr>
            </w:pPr>
            <w:r w:rsidRPr="00650BD4">
              <w:rPr>
                <w:rFonts w:eastAsia="Times New Roman" w:cs="Times New Roman"/>
                <w:sz w:val="24"/>
                <w:szCs w:val="24"/>
              </w:rPr>
              <w:t>Prin urmare, IMM-urile nu câștigă doar protecție împotriva incertitudinii, ci și o capacitate sporită de a transforma economiile generate în investiții care aduc valoare adăugată economiei naționale.</w:t>
            </w:r>
          </w:p>
          <w:p w14:paraId="17BAC6B0" w14:textId="77777777" w:rsidR="00951C1E" w:rsidRPr="00650BD4" w:rsidRDefault="00951C1E" w:rsidP="0041788D">
            <w:pPr>
              <w:snapToGrid w:val="0"/>
              <w:spacing w:line="276" w:lineRule="auto"/>
              <w:ind w:firstLine="433"/>
              <w:outlineLvl w:val="2"/>
              <w:rPr>
                <w:rFonts w:eastAsia="Times New Roman" w:cs="Times New Roman"/>
                <w:b/>
                <w:bCs/>
                <w:szCs w:val="24"/>
              </w:rPr>
            </w:pPr>
            <w:r w:rsidRPr="00650BD4">
              <w:rPr>
                <w:rFonts w:eastAsia="Times New Roman" w:cs="Times New Roman"/>
                <w:b/>
                <w:bCs/>
                <w:szCs w:val="24"/>
              </w:rPr>
              <w:t>4.3.2. Impact asupra concurenței</w:t>
            </w:r>
          </w:p>
          <w:p w14:paraId="736513C5" w14:textId="754276EF" w:rsidR="00CF18C8" w:rsidRPr="00650BD4" w:rsidRDefault="00CF18C8" w:rsidP="0041788D">
            <w:pPr>
              <w:pStyle w:val="NoSpacing"/>
              <w:snapToGrid w:val="0"/>
              <w:spacing w:line="276" w:lineRule="auto"/>
              <w:ind w:firstLine="433"/>
              <w:jc w:val="both"/>
              <w:rPr>
                <w:rFonts w:eastAsia="Times New Roman" w:cs="Times New Roman"/>
                <w:sz w:val="24"/>
                <w:szCs w:val="24"/>
              </w:rPr>
            </w:pPr>
            <w:r w:rsidRPr="00650BD4">
              <w:rPr>
                <w:rFonts w:eastAsia="Times New Roman" w:cs="Times New Roman"/>
                <w:sz w:val="24"/>
                <w:szCs w:val="24"/>
              </w:rPr>
              <w:t xml:space="preserve">Unul dintre cele mai importante efecte ale </w:t>
            </w:r>
            <w:r w:rsidR="006C61DE" w:rsidRPr="00650BD4">
              <w:rPr>
                <w:rFonts w:eastAsia="Times New Roman" w:cs="Times New Roman"/>
                <w:sz w:val="24"/>
                <w:szCs w:val="24"/>
              </w:rPr>
              <w:t xml:space="preserve">modificărilor </w:t>
            </w:r>
            <w:r w:rsidRPr="00650BD4">
              <w:rPr>
                <w:rFonts w:eastAsia="Times New Roman" w:cs="Times New Roman"/>
                <w:sz w:val="24"/>
                <w:szCs w:val="24"/>
              </w:rPr>
              <w:t xml:space="preserve">este asupra concurenței. În prezent, piața gazelor naturale din Republica Moldova are un grad de concentrare extrem de ridicat. Deși activează 16 furnizori, piața oricum încă rămâne dominată de </w:t>
            </w:r>
            <w:r w:rsidR="00F344C9" w:rsidRPr="00650BD4">
              <w:rPr>
                <w:rFonts w:eastAsia="Times New Roman" w:cs="Times New Roman"/>
                <w:sz w:val="24"/>
                <w:szCs w:val="24"/>
              </w:rPr>
              <w:t>furnizorul de serviciu public</w:t>
            </w:r>
            <w:r w:rsidRPr="00650BD4">
              <w:rPr>
                <w:rFonts w:eastAsia="Times New Roman" w:cs="Times New Roman"/>
                <w:sz w:val="24"/>
                <w:szCs w:val="24"/>
              </w:rPr>
              <w:t xml:space="preserve">, iar indicele HHI, menționat mai și anterior, a înregistrat valori de </w:t>
            </w:r>
            <w:r w:rsidRPr="00650BD4">
              <w:rPr>
                <w:rFonts w:eastAsia="Times New Roman" w:cs="Times New Roman"/>
                <w:sz w:val="24"/>
                <w:szCs w:val="24"/>
                <w:u w:val="single"/>
              </w:rPr>
              <w:t xml:space="preserve">9 546 în 2022, 8 635 în 2023 și 7 </w:t>
            </w:r>
            <w:r w:rsidRPr="00650BD4">
              <w:rPr>
                <w:rFonts w:eastAsia="Times New Roman" w:cs="Times New Roman"/>
                <w:sz w:val="24"/>
                <w:szCs w:val="24"/>
                <w:u w:val="single"/>
              </w:rPr>
              <w:lastRenderedPageBreak/>
              <w:t>940 în 2024</w:t>
            </w:r>
            <w:r w:rsidRPr="00650BD4">
              <w:rPr>
                <w:rFonts w:eastAsia="Times New Roman" w:cs="Times New Roman"/>
                <w:sz w:val="24"/>
                <w:szCs w:val="24"/>
              </w:rPr>
              <w:t xml:space="preserve"> – mult peste pragu</w:t>
            </w:r>
            <w:r w:rsidR="00F750D3" w:rsidRPr="00650BD4">
              <w:rPr>
                <w:rFonts w:eastAsia="Times New Roman" w:cs="Times New Roman"/>
                <w:sz w:val="24"/>
                <w:szCs w:val="24"/>
              </w:rPr>
              <w:t>l</w:t>
            </w:r>
            <w:r w:rsidRPr="00650BD4">
              <w:rPr>
                <w:rFonts w:eastAsia="Times New Roman" w:cs="Times New Roman"/>
                <w:sz w:val="24"/>
                <w:szCs w:val="24"/>
              </w:rPr>
              <w:t xml:space="preserve"> de 2 500 care, conform standardelor internaționale, indică o piață neconcurențială.</w:t>
            </w:r>
          </w:p>
          <w:p w14:paraId="2BA74264" w14:textId="11D9B34D" w:rsidR="00996830" w:rsidRPr="00650BD4" w:rsidRDefault="00CF18C8" w:rsidP="0041788D">
            <w:pPr>
              <w:pStyle w:val="NoSpacing"/>
              <w:snapToGrid w:val="0"/>
              <w:spacing w:line="276" w:lineRule="auto"/>
              <w:ind w:firstLine="433"/>
              <w:jc w:val="both"/>
              <w:rPr>
                <w:rFonts w:eastAsia="Times New Roman" w:cs="Times New Roman"/>
                <w:sz w:val="24"/>
                <w:szCs w:val="24"/>
              </w:rPr>
            </w:pPr>
            <w:r w:rsidRPr="00650BD4">
              <w:rPr>
                <w:rFonts w:eastAsia="Times New Roman" w:cs="Times New Roman"/>
                <w:sz w:val="24"/>
                <w:szCs w:val="24"/>
              </w:rPr>
              <w:t xml:space="preserve">Prin comparație, în România, liberalizarea completă a pieței gazelor naturale din iulie 2020 a dus la o evoluție inițială relativ moderată a concurenței, cu un număr de furnizori activi de 65 în 2023. Conform raportului </w:t>
            </w:r>
            <w:hyperlink r:id="rId11" w:history="1">
              <w:r w:rsidRPr="00650BD4">
                <w:rPr>
                  <w:rStyle w:val="Hyperlink"/>
                  <w:rFonts w:eastAsia="Times New Roman" w:cs="Times New Roman"/>
                  <w:color w:val="auto"/>
                  <w:sz w:val="24"/>
                  <w:szCs w:val="24"/>
                </w:rPr>
                <w:t>ACER-CEER din 2024</w:t>
              </w:r>
            </w:hyperlink>
            <w:r w:rsidRPr="00650BD4">
              <w:rPr>
                <w:rFonts w:eastAsia="Times New Roman" w:cs="Times New Roman"/>
                <w:sz w:val="24"/>
                <w:szCs w:val="24"/>
              </w:rPr>
              <w:t>, indicele HHI pentru segmentul gospodăriilor casnice a înregistrat valori de aproximativ 3 773 în 2019, 4 002 în 2022 și 3 962 în 2023 (o scădere de 1% față de 2022 și o creștere de 5% față de 2019), reflectând o concentrare ridicată (CR3</w:t>
            </w:r>
            <w:r w:rsidR="0002467D" w:rsidRPr="00650BD4">
              <w:rPr>
                <w:rFonts w:eastAsia="Times New Roman" w:cs="Times New Roman"/>
                <w:sz w:val="24"/>
                <w:szCs w:val="24"/>
              </w:rPr>
              <w:t>*</w:t>
            </w:r>
            <w:r w:rsidRPr="00650BD4">
              <w:rPr>
                <w:rFonts w:eastAsia="Times New Roman" w:cs="Times New Roman"/>
                <w:sz w:val="24"/>
                <w:szCs w:val="24"/>
              </w:rPr>
              <w:t xml:space="preserve">: 91% în 2023), dar cu </w:t>
            </w:r>
            <w:r w:rsidR="00996830" w:rsidRPr="00650BD4">
              <w:rPr>
                <w:rFonts w:eastAsia="Times New Roman" w:cs="Times New Roman"/>
                <w:sz w:val="24"/>
                <w:szCs w:val="24"/>
              </w:rPr>
              <w:t xml:space="preserve">deja </w:t>
            </w:r>
            <w:r w:rsidRPr="00650BD4">
              <w:rPr>
                <w:rFonts w:eastAsia="Times New Roman" w:cs="Times New Roman"/>
                <w:sz w:val="24"/>
                <w:szCs w:val="24"/>
              </w:rPr>
              <w:t xml:space="preserve">semne de îmbunătățire datorită posibilității de încheiere a contractelor pe piața competitivă și a instrumentelor de transparență precum </w:t>
            </w:r>
            <w:hyperlink r:id="rId12" w:history="1">
              <w:r w:rsidRPr="00650BD4">
                <w:rPr>
                  <w:rStyle w:val="Hyperlink"/>
                  <w:rFonts w:eastAsia="Times New Roman" w:cs="Times New Roman"/>
                  <w:color w:val="auto"/>
                  <w:sz w:val="24"/>
                  <w:szCs w:val="24"/>
                </w:rPr>
                <w:t>POSF</w:t>
              </w:r>
            </w:hyperlink>
            <w:r w:rsidRPr="00650BD4">
              <w:rPr>
                <w:rFonts w:eastAsia="Times New Roman" w:cs="Times New Roman"/>
                <w:sz w:val="24"/>
                <w:szCs w:val="24"/>
              </w:rPr>
              <w:t xml:space="preserve">. Până la sfârșitul lui 2023, aproximativ 60% dintre consumatorii casnici aveau contracte competitive, față de doar 12% înainte de liberalizare. La fel de </w:t>
            </w:r>
            <w:r w:rsidR="00996830" w:rsidRPr="00650BD4">
              <w:rPr>
                <w:rFonts w:eastAsia="Times New Roman" w:cs="Times New Roman"/>
                <w:sz w:val="24"/>
                <w:szCs w:val="24"/>
              </w:rPr>
              <w:t>reprezentativă</w:t>
            </w:r>
            <w:r w:rsidRPr="00650BD4">
              <w:rPr>
                <w:rFonts w:eastAsia="Times New Roman" w:cs="Times New Roman"/>
                <w:sz w:val="24"/>
                <w:szCs w:val="24"/>
              </w:rPr>
              <w:t xml:space="preserve"> este rata de schimbare a furnizorului. În România, rata de </w:t>
            </w:r>
            <w:r w:rsidR="00F53DFA" w:rsidRPr="00650BD4">
              <w:rPr>
                <w:rFonts w:eastAsia="Times New Roman" w:cs="Times New Roman"/>
                <w:sz w:val="24"/>
                <w:szCs w:val="24"/>
              </w:rPr>
              <w:t>migrare</w:t>
            </w:r>
            <w:r w:rsidRPr="00650BD4">
              <w:rPr>
                <w:rFonts w:eastAsia="Times New Roman" w:cs="Times New Roman"/>
                <w:sz w:val="24"/>
                <w:szCs w:val="24"/>
              </w:rPr>
              <w:t xml:space="preserve"> a fost estimată la 3–5% anual post-liberalizare, similar cu Austria (4,0% în 2022, cu o creștere la aproximativ 4,5% în 2023, majoritar pentru consumatori casnici), unde</w:t>
            </w:r>
            <w:r w:rsidR="00996830" w:rsidRPr="00650BD4">
              <w:rPr>
                <w:rFonts w:eastAsia="Times New Roman" w:cs="Times New Roman"/>
                <w:sz w:val="24"/>
                <w:szCs w:val="24"/>
              </w:rPr>
              <w:t xml:space="preserve"> oferta etalon (</w:t>
            </w:r>
            <w:r w:rsidR="008A5C56" w:rsidRPr="00650BD4">
              <w:rPr>
                <w:rFonts w:eastAsia="Times New Roman" w:cs="Times New Roman"/>
                <w:sz w:val="24"/>
                <w:szCs w:val="24"/>
              </w:rPr>
              <w:t>standard</w:t>
            </w:r>
            <w:r w:rsidR="00996830" w:rsidRPr="00650BD4">
              <w:rPr>
                <w:rFonts w:eastAsia="Times New Roman" w:cs="Times New Roman"/>
                <w:sz w:val="24"/>
                <w:szCs w:val="24"/>
              </w:rPr>
              <w:t>)</w:t>
            </w:r>
            <w:r w:rsidRPr="00650BD4">
              <w:rPr>
                <w:rFonts w:eastAsia="Times New Roman" w:cs="Times New Roman"/>
                <w:sz w:val="24"/>
                <w:szCs w:val="24"/>
              </w:rPr>
              <w:t xml:space="preserve"> și comparatorul electronic au facilitat mobilitatea consumatorilor. </w:t>
            </w:r>
          </w:p>
          <w:p w14:paraId="4AAAB438" w14:textId="67C049D7" w:rsidR="0012211C" w:rsidRPr="00650BD4" w:rsidRDefault="00CF18C8" w:rsidP="0041788D">
            <w:pPr>
              <w:pStyle w:val="NoSpacing"/>
              <w:snapToGrid w:val="0"/>
              <w:spacing w:line="276" w:lineRule="auto"/>
              <w:ind w:firstLine="433"/>
              <w:jc w:val="both"/>
              <w:rPr>
                <w:rFonts w:cs="Times New Roman"/>
                <w:sz w:val="24"/>
                <w:szCs w:val="24"/>
              </w:rPr>
            </w:pPr>
            <w:r w:rsidRPr="00650BD4">
              <w:rPr>
                <w:rFonts w:eastAsia="Times New Roman" w:cs="Times New Roman"/>
                <w:sz w:val="24"/>
                <w:szCs w:val="24"/>
              </w:rPr>
              <w:t xml:space="preserve">Prin implementarea reglementărilor propuse, </w:t>
            </w:r>
            <w:r w:rsidR="00F344C9" w:rsidRPr="00650BD4">
              <w:rPr>
                <w:rFonts w:eastAsia="Times New Roman" w:cs="Times New Roman"/>
                <w:sz w:val="24"/>
                <w:szCs w:val="24"/>
              </w:rPr>
              <w:t>rata de schimbare a furnizorului</w:t>
            </w:r>
            <w:r w:rsidRPr="00650BD4">
              <w:rPr>
                <w:rFonts w:eastAsia="Times New Roman" w:cs="Times New Roman"/>
                <w:sz w:val="24"/>
                <w:szCs w:val="24"/>
              </w:rPr>
              <w:t xml:space="preserve"> poate crește semnificativ, ceea ce ar conduce la o competiție mai intensă între furnizori. O ofertă standardizată accesibilă tuturor consumatorilor și comparatorul </w:t>
            </w:r>
            <w:r w:rsidR="006C61DE" w:rsidRPr="00650BD4">
              <w:rPr>
                <w:rFonts w:eastAsia="Times New Roman" w:cs="Times New Roman"/>
                <w:sz w:val="24"/>
                <w:szCs w:val="24"/>
              </w:rPr>
              <w:t xml:space="preserve">de prețuri </w:t>
            </w:r>
            <w:r w:rsidRPr="00650BD4">
              <w:rPr>
                <w:rFonts w:eastAsia="Times New Roman" w:cs="Times New Roman"/>
                <w:sz w:val="24"/>
                <w:szCs w:val="24"/>
              </w:rPr>
              <w:t>vor reduce barierele informaționale și</w:t>
            </w:r>
            <w:r w:rsidR="003869DD" w:rsidRPr="00650BD4">
              <w:rPr>
                <w:rFonts w:eastAsia="Times New Roman" w:cs="Times New Roman"/>
                <w:sz w:val="24"/>
                <w:szCs w:val="24"/>
              </w:rPr>
              <w:t xml:space="preserve"> reduce din</w:t>
            </w:r>
            <w:r w:rsidR="00175193" w:rsidRPr="00650BD4">
              <w:rPr>
                <w:rFonts w:eastAsia="Times New Roman" w:cs="Times New Roman"/>
                <w:sz w:val="24"/>
                <w:szCs w:val="24"/>
              </w:rPr>
              <w:t xml:space="preserve"> reticența consumatorilor</w:t>
            </w:r>
            <w:r w:rsidRPr="00650BD4">
              <w:rPr>
                <w:rFonts w:eastAsia="Times New Roman" w:cs="Times New Roman"/>
                <w:sz w:val="24"/>
                <w:szCs w:val="24"/>
              </w:rPr>
              <w:t>, stimulând astfel procesul de schimbare a furnizorului. În consecință, furnizorii vor fi obligați să își optimizeze costurile și să diversifice</w:t>
            </w:r>
            <w:r w:rsidR="00175193" w:rsidRPr="00650BD4">
              <w:rPr>
                <w:rFonts w:eastAsia="Times New Roman" w:cs="Times New Roman"/>
                <w:sz w:val="24"/>
                <w:szCs w:val="24"/>
              </w:rPr>
              <w:t xml:space="preserve"> portofoliul de</w:t>
            </w:r>
            <w:r w:rsidRPr="00650BD4">
              <w:rPr>
                <w:rFonts w:eastAsia="Times New Roman" w:cs="Times New Roman"/>
                <w:sz w:val="24"/>
                <w:szCs w:val="24"/>
              </w:rPr>
              <w:t xml:space="preserve"> produsele comerciale, ceea ce va contribui la crearea unei piețe mai dinamice și mai echilibrate. </w:t>
            </w:r>
          </w:p>
        </w:tc>
      </w:tr>
      <w:tr w:rsidR="00650BD4" w:rsidRPr="00650BD4" w14:paraId="5998C4B6" w14:textId="77777777" w:rsidTr="005A7B0A">
        <w:tc>
          <w:tcPr>
            <w:tcW w:w="9522" w:type="dxa"/>
          </w:tcPr>
          <w:p w14:paraId="4A0FC22B" w14:textId="77777777" w:rsidR="0012211C" w:rsidRPr="00650BD4" w:rsidRDefault="0012211C" w:rsidP="0041788D">
            <w:pPr>
              <w:snapToGrid w:val="0"/>
              <w:spacing w:line="276" w:lineRule="auto"/>
              <w:ind w:firstLine="450"/>
              <w:rPr>
                <w:rFonts w:cs="Times New Roman"/>
                <w:szCs w:val="24"/>
              </w:rPr>
            </w:pPr>
            <w:r w:rsidRPr="00650BD4">
              <w:rPr>
                <w:rFonts w:cs="Times New Roman"/>
                <w:b/>
                <w:i/>
                <w:szCs w:val="24"/>
              </w:rPr>
              <w:lastRenderedPageBreak/>
              <w:t>4.4. Impactul social</w:t>
            </w:r>
          </w:p>
        </w:tc>
      </w:tr>
      <w:tr w:rsidR="00650BD4" w:rsidRPr="00650BD4" w14:paraId="17B424E1" w14:textId="77777777" w:rsidTr="005A7B0A">
        <w:tc>
          <w:tcPr>
            <w:tcW w:w="9522" w:type="dxa"/>
          </w:tcPr>
          <w:p w14:paraId="54BF52D5" w14:textId="77777777" w:rsidR="00947747" w:rsidRPr="00650BD4" w:rsidRDefault="00947747" w:rsidP="0041788D">
            <w:pPr>
              <w:pStyle w:val="NoSpacing"/>
              <w:snapToGrid w:val="0"/>
              <w:spacing w:line="276" w:lineRule="auto"/>
              <w:ind w:firstLine="450"/>
              <w:jc w:val="both"/>
              <w:rPr>
                <w:rFonts w:eastAsia="Times New Roman" w:cs="Times New Roman"/>
                <w:sz w:val="24"/>
                <w:szCs w:val="24"/>
              </w:rPr>
            </w:pPr>
            <w:r w:rsidRPr="00650BD4">
              <w:rPr>
                <w:rFonts w:eastAsia="Times New Roman" w:cs="Times New Roman"/>
                <w:sz w:val="24"/>
                <w:szCs w:val="24"/>
              </w:rPr>
              <w:t>Noile prevederi vor avea un impact social major, întrucât peste 95% dintre consumatorii casnici din Republica Moldova se încadrează în categoria vizată de măsurile propuse (&lt;100 000 kWh/an). Introducerea contractelor cu preț fix le va oferi acestora un grad mai mare de securitate financiară, protejându-i împotriva fluctuațiilor extreme ale pieței internaționale de gaze naturale. Într-un context regional marcat de volatilitate și adesea crize energetice, stabilitatea prețurilor pentru gospodării reprezintă un avantaj social important, micșorând riscul de sărăcie energetică.</w:t>
            </w:r>
          </w:p>
          <w:p w14:paraId="4AD9919E" w14:textId="682CD833" w:rsidR="0012211C" w:rsidRPr="00650BD4" w:rsidRDefault="00947747" w:rsidP="0041788D">
            <w:pPr>
              <w:pStyle w:val="NoSpacing"/>
              <w:snapToGrid w:val="0"/>
              <w:spacing w:line="276" w:lineRule="auto"/>
              <w:ind w:firstLine="450"/>
              <w:jc w:val="both"/>
              <w:rPr>
                <w:rFonts w:eastAsia="Times New Roman" w:cs="Times New Roman"/>
                <w:sz w:val="24"/>
                <w:szCs w:val="24"/>
              </w:rPr>
            </w:pPr>
            <w:r w:rsidRPr="00650BD4">
              <w:rPr>
                <w:rFonts w:eastAsia="Times New Roman" w:cs="Times New Roman"/>
                <w:sz w:val="24"/>
                <w:szCs w:val="24"/>
              </w:rPr>
              <w:t>De asemenea, oferta standardizată și comparatorul electronic vor contribui la educarea consumatorilor. Accesul la informații clare și comparabile va permite cetățenilor să își înțeleagă mai bine statutul de consumatori, să își cunoască drepturile și să ia decizii în cunoștință de cauză.</w:t>
            </w:r>
          </w:p>
        </w:tc>
      </w:tr>
      <w:tr w:rsidR="00650BD4" w:rsidRPr="00650BD4" w14:paraId="5902CE2E" w14:textId="77777777" w:rsidTr="005A7B0A">
        <w:tc>
          <w:tcPr>
            <w:tcW w:w="9522" w:type="dxa"/>
          </w:tcPr>
          <w:p w14:paraId="74F79457" w14:textId="77777777" w:rsidR="0012211C" w:rsidRPr="00650BD4" w:rsidRDefault="0012211C" w:rsidP="0041788D">
            <w:pPr>
              <w:snapToGrid w:val="0"/>
              <w:spacing w:line="276" w:lineRule="auto"/>
              <w:ind w:firstLine="450"/>
              <w:rPr>
                <w:rFonts w:cs="Times New Roman"/>
                <w:szCs w:val="24"/>
              </w:rPr>
            </w:pPr>
            <w:r w:rsidRPr="00650BD4">
              <w:rPr>
                <w:rFonts w:cs="Times New Roman"/>
                <w:b/>
                <w:i/>
                <w:szCs w:val="24"/>
              </w:rPr>
              <w:t>4.5. Impactul asupra mediului</w:t>
            </w:r>
          </w:p>
        </w:tc>
      </w:tr>
      <w:tr w:rsidR="00650BD4" w:rsidRPr="00650BD4" w14:paraId="16F0D28B" w14:textId="77777777" w:rsidTr="005A7B0A">
        <w:tc>
          <w:tcPr>
            <w:tcW w:w="9522" w:type="dxa"/>
          </w:tcPr>
          <w:p w14:paraId="2A1F89A9" w14:textId="5C635288" w:rsidR="0012211C" w:rsidRPr="00650BD4" w:rsidRDefault="00947747" w:rsidP="0041788D">
            <w:pPr>
              <w:pStyle w:val="NoSpacing"/>
              <w:snapToGrid w:val="0"/>
              <w:spacing w:line="276" w:lineRule="auto"/>
              <w:ind w:firstLine="450"/>
              <w:jc w:val="both"/>
              <w:rPr>
                <w:rFonts w:cs="Times New Roman"/>
                <w:sz w:val="24"/>
                <w:szCs w:val="24"/>
              </w:rPr>
            </w:pPr>
            <w:r w:rsidRPr="00650BD4">
              <w:rPr>
                <w:rFonts w:eastAsia="Times New Roman" w:cs="Times New Roman"/>
                <w:sz w:val="24"/>
                <w:szCs w:val="24"/>
              </w:rPr>
              <w:t xml:space="preserve">Deși proiectul nu are un impact direct asupra mediului, efectele indirecte nu pot fi neglijate. În timp creșterea transparenței și intensificarea concurenței vor stimula furnizorii să caute modalități inovatoare de diferențiere a produselor oferite, inclusiv prin introducerea de produse comerciale cu componentă </w:t>
            </w:r>
            <w:r w:rsidRPr="00650BD4">
              <w:rPr>
                <w:rFonts w:eastAsia="Times New Roman" w:cs="Times New Roman"/>
                <w:i/>
                <w:sz w:val="24"/>
                <w:szCs w:val="24"/>
              </w:rPr>
              <w:t>„verde”</w:t>
            </w:r>
            <w:r w:rsidR="006C61DE" w:rsidRPr="00650BD4">
              <w:rPr>
                <w:rFonts w:eastAsia="Times New Roman" w:cs="Times New Roman"/>
                <w:sz w:val="24"/>
                <w:szCs w:val="24"/>
              </w:rPr>
              <w:t xml:space="preserve">. </w:t>
            </w:r>
            <w:r w:rsidRPr="00650BD4">
              <w:rPr>
                <w:rFonts w:eastAsia="Times New Roman" w:cs="Times New Roman"/>
                <w:sz w:val="24"/>
                <w:szCs w:val="24"/>
              </w:rPr>
              <w:t xml:space="preserve">Pe termen lung, </w:t>
            </w:r>
            <w:r w:rsidR="00DB254B" w:rsidRPr="00650BD4">
              <w:rPr>
                <w:rFonts w:eastAsia="Times New Roman" w:cs="Times New Roman"/>
                <w:sz w:val="24"/>
                <w:szCs w:val="24"/>
              </w:rPr>
              <w:t>este probabil</w:t>
            </w:r>
            <w:r w:rsidRPr="00650BD4">
              <w:rPr>
                <w:rFonts w:eastAsia="Times New Roman" w:cs="Times New Roman"/>
                <w:sz w:val="24"/>
                <w:szCs w:val="24"/>
              </w:rPr>
              <w:t xml:space="preserve"> c</w:t>
            </w:r>
            <w:r w:rsidR="00DB254B" w:rsidRPr="00650BD4">
              <w:rPr>
                <w:rFonts w:eastAsia="Times New Roman" w:cs="Times New Roman"/>
                <w:sz w:val="24"/>
                <w:szCs w:val="24"/>
              </w:rPr>
              <w:t>ă</w:t>
            </w:r>
            <w:r w:rsidRPr="00650BD4">
              <w:rPr>
                <w:rFonts w:eastAsia="Times New Roman" w:cs="Times New Roman"/>
                <w:sz w:val="24"/>
                <w:szCs w:val="24"/>
              </w:rPr>
              <w:t xml:space="preserve"> piața liberă, odată maturizată, să genereze inițiative comerciale care sprijină tranziția energetică.</w:t>
            </w:r>
          </w:p>
        </w:tc>
      </w:tr>
      <w:tr w:rsidR="00650BD4" w:rsidRPr="00650BD4" w14:paraId="6C44123B" w14:textId="77777777" w:rsidTr="005A7B0A">
        <w:tc>
          <w:tcPr>
            <w:tcW w:w="9522" w:type="dxa"/>
          </w:tcPr>
          <w:p w14:paraId="2FC9D02D" w14:textId="77777777" w:rsidR="0012211C" w:rsidRPr="00650BD4" w:rsidRDefault="0012211C" w:rsidP="0041788D">
            <w:pPr>
              <w:snapToGrid w:val="0"/>
              <w:spacing w:line="276" w:lineRule="auto"/>
              <w:ind w:firstLine="450"/>
              <w:rPr>
                <w:rFonts w:cs="Times New Roman"/>
                <w:szCs w:val="24"/>
              </w:rPr>
            </w:pPr>
            <w:r w:rsidRPr="00650BD4">
              <w:rPr>
                <w:rFonts w:cs="Times New Roman"/>
                <w:b/>
                <w:i/>
                <w:szCs w:val="24"/>
              </w:rPr>
              <w:t>4.6. Alte impacturi și informații relevante</w:t>
            </w:r>
          </w:p>
        </w:tc>
      </w:tr>
      <w:tr w:rsidR="00650BD4" w:rsidRPr="00650BD4" w14:paraId="665458A9" w14:textId="77777777" w:rsidTr="005A7B0A">
        <w:tc>
          <w:tcPr>
            <w:tcW w:w="9522" w:type="dxa"/>
          </w:tcPr>
          <w:p w14:paraId="0A7C5101" w14:textId="77777777" w:rsidR="005E20CF" w:rsidRPr="00650BD4" w:rsidRDefault="005E20CF" w:rsidP="0041788D">
            <w:pPr>
              <w:snapToGrid w:val="0"/>
              <w:spacing w:line="276" w:lineRule="auto"/>
              <w:ind w:firstLine="450"/>
              <w:outlineLvl w:val="2"/>
              <w:rPr>
                <w:rFonts w:eastAsia="Times New Roman" w:cs="Times New Roman"/>
                <w:b/>
                <w:bCs/>
                <w:szCs w:val="24"/>
              </w:rPr>
            </w:pPr>
            <w:r w:rsidRPr="00650BD4">
              <w:rPr>
                <w:rFonts w:eastAsia="Times New Roman" w:cs="Times New Roman"/>
                <w:b/>
                <w:bCs/>
                <w:szCs w:val="24"/>
              </w:rPr>
              <w:t>Alte impacturi relevante</w:t>
            </w:r>
          </w:p>
          <w:p w14:paraId="5E3C58AC" w14:textId="2E73D560" w:rsidR="005E20CF" w:rsidRPr="00650BD4" w:rsidRDefault="005E20CF" w:rsidP="0041788D">
            <w:pPr>
              <w:pStyle w:val="NoSpacing"/>
              <w:snapToGrid w:val="0"/>
              <w:spacing w:line="276" w:lineRule="auto"/>
              <w:ind w:firstLine="450"/>
              <w:jc w:val="both"/>
              <w:rPr>
                <w:rFonts w:eastAsia="Times New Roman" w:cs="Times New Roman"/>
                <w:sz w:val="24"/>
                <w:szCs w:val="24"/>
              </w:rPr>
            </w:pPr>
            <w:r w:rsidRPr="00650BD4">
              <w:rPr>
                <w:rFonts w:eastAsia="Times New Roman" w:cs="Times New Roman"/>
                <w:sz w:val="24"/>
                <w:szCs w:val="24"/>
              </w:rPr>
              <w:t xml:space="preserve">Prin centralizarea și publicarea periodică a datelor privind ofertele furnizorilor, Agenția va obține un instrument de </w:t>
            </w:r>
            <w:r w:rsidRPr="00650BD4">
              <w:rPr>
                <w:rFonts w:eastAsia="Times New Roman" w:cs="Times New Roman"/>
                <w:i/>
                <w:sz w:val="24"/>
                <w:szCs w:val="24"/>
              </w:rPr>
              <w:t>analiză comparativă</w:t>
            </w:r>
            <w:r w:rsidRPr="00650BD4">
              <w:rPr>
                <w:rFonts w:eastAsia="Times New Roman" w:cs="Times New Roman"/>
                <w:sz w:val="24"/>
                <w:szCs w:val="24"/>
              </w:rPr>
              <w:t xml:space="preserve"> extrem de util. Acesta va permite comparații între furnizori, identificarea unor diferențe nejustificate de preț și monitorizarea </w:t>
            </w:r>
            <w:r w:rsidR="00CC3A72" w:rsidRPr="00650BD4">
              <w:rPr>
                <w:rFonts w:eastAsia="Times New Roman" w:cs="Times New Roman"/>
                <w:sz w:val="24"/>
                <w:szCs w:val="24"/>
              </w:rPr>
              <w:t>pieței retail.</w:t>
            </w:r>
          </w:p>
          <w:p w14:paraId="4C2298FF" w14:textId="2CCD9FD0" w:rsidR="0012211C" w:rsidRPr="00650BD4" w:rsidRDefault="005E20CF" w:rsidP="0041788D">
            <w:pPr>
              <w:pStyle w:val="NoSpacing"/>
              <w:snapToGrid w:val="0"/>
              <w:spacing w:line="276" w:lineRule="auto"/>
              <w:ind w:firstLine="450"/>
              <w:jc w:val="both"/>
              <w:rPr>
                <w:rFonts w:eastAsia="Times New Roman" w:cs="Times New Roman"/>
                <w:sz w:val="24"/>
                <w:szCs w:val="24"/>
              </w:rPr>
            </w:pPr>
            <w:r w:rsidRPr="00650BD4">
              <w:rPr>
                <w:rFonts w:eastAsia="Times New Roman" w:cs="Times New Roman"/>
                <w:sz w:val="24"/>
                <w:szCs w:val="24"/>
              </w:rPr>
              <w:t>Totodată, existența unui istoric centralizat al ofertelor va sprijini analiza pe termen lung a tendințelor de pe piața gazelor naturale. În plus, comparabilitatea datelor va permite ANRE să ia măsuri proactive pentru prevenirea abuzurilor de poziție dominantă sau a altor practici anticoncurențiale, consolidând astfel rolul său de garant al transparenței și echilibrului pieței.</w:t>
            </w:r>
          </w:p>
        </w:tc>
      </w:tr>
      <w:tr w:rsidR="00650BD4" w:rsidRPr="00650BD4" w14:paraId="67F2DF0B" w14:textId="77777777" w:rsidTr="005A7B0A">
        <w:tc>
          <w:tcPr>
            <w:tcW w:w="9522" w:type="dxa"/>
          </w:tcPr>
          <w:p w14:paraId="4CDA260F" w14:textId="77777777" w:rsidR="0012211C" w:rsidRPr="00650BD4" w:rsidRDefault="0012211C" w:rsidP="0041788D">
            <w:pPr>
              <w:snapToGrid w:val="0"/>
              <w:spacing w:line="276" w:lineRule="auto"/>
              <w:ind w:firstLine="450"/>
              <w:rPr>
                <w:rFonts w:cs="Times New Roman"/>
                <w:szCs w:val="24"/>
              </w:rPr>
            </w:pPr>
            <w:r w:rsidRPr="00650BD4">
              <w:rPr>
                <w:rFonts w:cs="Times New Roman"/>
                <w:b/>
                <w:bCs/>
                <w:szCs w:val="24"/>
              </w:rPr>
              <w:lastRenderedPageBreak/>
              <w:t>5. Compatibilitatea proiectului actului normativ cu legislația UE</w:t>
            </w:r>
          </w:p>
        </w:tc>
      </w:tr>
      <w:tr w:rsidR="00650BD4" w:rsidRPr="00650BD4" w14:paraId="68424800" w14:textId="77777777" w:rsidTr="005A7B0A">
        <w:tc>
          <w:tcPr>
            <w:tcW w:w="9522" w:type="dxa"/>
          </w:tcPr>
          <w:p w14:paraId="6B63A1C7" w14:textId="206982DE" w:rsidR="0012211C" w:rsidRPr="00650BD4" w:rsidRDefault="00994B83" w:rsidP="003C2EC7">
            <w:pPr>
              <w:snapToGrid w:val="0"/>
              <w:spacing w:line="276" w:lineRule="auto"/>
              <w:ind w:firstLine="433"/>
              <w:jc w:val="both"/>
              <w:rPr>
                <w:rFonts w:eastAsia="Times New Roman" w:cs="Times New Roman"/>
                <w:szCs w:val="24"/>
              </w:rPr>
            </w:pPr>
            <w:r w:rsidRPr="00650BD4">
              <w:rPr>
                <w:rFonts w:eastAsia="Times New Roman" w:cs="Times New Roman"/>
                <w:szCs w:val="24"/>
              </w:rPr>
              <w:t>Proiectul</w:t>
            </w:r>
            <w:r w:rsidR="006C61DE" w:rsidRPr="00650BD4">
              <w:rPr>
                <w:rFonts w:eastAsia="Times New Roman" w:cs="Times New Roman"/>
                <w:szCs w:val="24"/>
              </w:rPr>
              <w:t xml:space="preserve"> </w:t>
            </w:r>
            <w:r w:rsidRPr="00650BD4">
              <w:rPr>
                <w:rFonts w:eastAsia="Times New Roman" w:cs="Times New Roman"/>
                <w:szCs w:val="24"/>
                <w:u w:val="single"/>
              </w:rPr>
              <w:t>nu transpune acte normative UE</w:t>
            </w:r>
            <w:r w:rsidRPr="00650BD4">
              <w:rPr>
                <w:rFonts w:eastAsia="Times New Roman" w:cs="Times New Roman"/>
                <w:szCs w:val="24"/>
              </w:rPr>
              <w:t>, dar este aliniat la principiile și bunele practici europene privind liberalizarea pieței gazelor naturale, transparența, protecția consumatorilor și concurența loială.</w:t>
            </w:r>
          </w:p>
        </w:tc>
      </w:tr>
      <w:tr w:rsidR="00650BD4" w:rsidRPr="00650BD4" w14:paraId="5DD83D64" w14:textId="77777777" w:rsidTr="005A7B0A">
        <w:tc>
          <w:tcPr>
            <w:tcW w:w="9522" w:type="dxa"/>
          </w:tcPr>
          <w:p w14:paraId="51D119D1" w14:textId="77777777" w:rsidR="0012211C" w:rsidRPr="00650BD4" w:rsidRDefault="0012211C" w:rsidP="0041788D">
            <w:pPr>
              <w:snapToGrid w:val="0"/>
              <w:spacing w:line="276" w:lineRule="auto"/>
              <w:ind w:firstLine="450"/>
              <w:rPr>
                <w:rFonts w:cs="Times New Roman"/>
                <w:szCs w:val="24"/>
              </w:rPr>
            </w:pPr>
            <w:r w:rsidRPr="00650BD4">
              <w:rPr>
                <w:rFonts w:cs="Times New Roman"/>
                <w:b/>
                <w:bCs/>
                <w:szCs w:val="24"/>
              </w:rPr>
              <w:t>6. Avizarea și consultarea publică a proiectului actului normativ</w:t>
            </w:r>
          </w:p>
        </w:tc>
      </w:tr>
      <w:tr w:rsidR="00650BD4" w:rsidRPr="00650BD4" w14:paraId="704B7DAF" w14:textId="77777777" w:rsidTr="005A7B0A">
        <w:tc>
          <w:tcPr>
            <w:tcW w:w="9522" w:type="dxa"/>
          </w:tcPr>
          <w:p w14:paraId="490F40CB" w14:textId="78309EB2" w:rsidR="00421302" w:rsidRPr="00650BD4" w:rsidRDefault="00421302" w:rsidP="00235A9C">
            <w:pPr>
              <w:snapToGrid w:val="0"/>
              <w:spacing w:line="276" w:lineRule="auto"/>
              <w:ind w:firstLine="450"/>
              <w:jc w:val="both"/>
              <w:rPr>
                <w:rFonts w:eastAsia="Times New Roman" w:cs="Times New Roman"/>
                <w:szCs w:val="24"/>
              </w:rPr>
            </w:pPr>
            <w:r w:rsidRPr="00650BD4">
              <w:rPr>
                <w:rFonts w:eastAsia="Times New Roman" w:cs="Times New Roman"/>
                <w:szCs w:val="24"/>
              </w:rPr>
              <w:t>Proiectul este publicat pe pagina oficială a ANRE (</w:t>
            </w:r>
            <w:hyperlink r:id="rId13" w:tgtFrame="_new" w:history="1">
              <w:r w:rsidRPr="00650BD4">
                <w:rPr>
                  <w:rFonts w:eastAsia="Times New Roman" w:cs="Times New Roman"/>
                  <w:szCs w:val="24"/>
                  <w:u w:val="single"/>
                </w:rPr>
                <w:t>www.anre.md</w:t>
              </w:r>
            </w:hyperlink>
            <w:r w:rsidRPr="00650BD4">
              <w:rPr>
                <w:rFonts w:eastAsia="Times New Roman" w:cs="Times New Roman"/>
                <w:szCs w:val="24"/>
              </w:rPr>
              <w:t xml:space="preserve">), la rubrica </w:t>
            </w:r>
            <w:r w:rsidRPr="00650BD4">
              <w:rPr>
                <w:rFonts w:eastAsia="Times New Roman" w:cs="Times New Roman"/>
                <w:i/>
                <w:szCs w:val="24"/>
              </w:rPr>
              <w:t>Transparență decizională</w:t>
            </w:r>
            <w:r w:rsidRPr="00650BD4">
              <w:rPr>
                <w:szCs w:val="24"/>
              </w:rPr>
              <w:t>/</w:t>
            </w:r>
            <w:r w:rsidRPr="00650BD4">
              <w:rPr>
                <w:i/>
                <w:szCs w:val="24"/>
              </w:rPr>
              <w:t>Proiecte supuse consultării publice</w:t>
            </w:r>
            <w:r w:rsidRPr="00650BD4">
              <w:rPr>
                <w:rFonts w:eastAsia="Times New Roman" w:cs="Times New Roman"/>
                <w:szCs w:val="24"/>
              </w:rPr>
              <w:t>, și expediat spre consultare publică titularilor de licență din sectorul gazelor naturale, autorităților relevante și altor părți interesate, în conformitate cu Legea nr. 239/2008 privind transparența în procesul decizional și Legea nr. 100/2017 privind actele normative.</w:t>
            </w:r>
          </w:p>
          <w:p w14:paraId="7E67FD9F" w14:textId="07FA5714" w:rsidR="00900C92" w:rsidRPr="00650BD4" w:rsidRDefault="00900C92" w:rsidP="00566D2A">
            <w:pPr>
              <w:spacing w:line="276" w:lineRule="auto"/>
              <w:ind w:firstLine="456"/>
              <w:jc w:val="both"/>
              <w:rPr>
                <w:szCs w:val="24"/>
              </w:rPr>
            </w:pPr>
            <w:r w:rsidRPr="00650BD4">
              <w:rPr>
                <w:szCs w:val="24"/>
              </w:rPr>
              <w:t>Agenția a expediat spre consultare și avizare, în adresa Ministerului Energiei, M</w:t>
            </w:r>
            <w:r w:rsidR="0056210F" w:rsidRPr="00650BD4">
              <w:rPr>
                <w:szCs w:val="24"/>
              </w:rPr>
              <w:t>inisterului Dezvoltării Economice și Digitalizării</w:t>
            </w:r>
            <w:r w:rsidRPr="00650BD4">
              <w:rPr>
                <w:szCs w:val="24"/>
              </w:rPr>
              <w:t xml:space="preserve">, </w:t>
            </w:r>
            <w:r w:rsidR="0056210F" w:rsidRPr="00650BD4">
              <w:rPr>
                <w:szCs w:val="24"/>
              </w:rPr>
              <w:t>Ministerul F</w:t>
            </w:r>
            <w:r w:rsidRPr="00650BD4">
              <w:rPr>
                <w:szCs w:val="24"/>
              </w:rPr>
              <w:t>inanțelor</w:t>
            </w:r>
            <w:r w:rsidR="0056210F" w:rsidRPr="00650BD4">
              <w:rPr>
                <w:szCs w:val="24"/>
              </w:rPr>
              <w:t>, Consiliul Concurenței, Agenției</w:t>
            </w:r>
            <w:r w:rsidRPr="00650BD4">
              <w:rPr>
                <w:szCs w:val="24"/>
              </w:rPr>
              <w:t xml:space="preserve"> Proprietății Publice, titularilor de licență pentru furnizare</w:t>
            </w:r>
            <w:r w:rsidR="00F202C0" w:rsidRPr="00650BD4">
              <w:rPr>
                <w:szCs w:val="24"/>
              </w:rPr>
              <w:t>a</w:t>
            </w:r>
            <w:r w:rsidRPr="00650BD4">
              <w:rPr>
                <w:szCs w:val="24"/>
              </w:rPr>
              <w:t xml:space="preserve"> </w:t>
            </w:r>
            <w:r w:rsidR="0056210F" w:rsidRPr="00650BD4">
              <w:rPr>
                <w:szCs w:val="24"/>
              </w:rPr>
              <w:t>gazelor naturale</w:t>
            </w:r>
            <w:r w:rsidRPr="00650BD4">
              <w:rPr>
                <w:szCs w:val="24"/>
              </w:rPr>
              <w:t xml:space="preserve">, Inspectoratului de Stat pentru Supravegherea Produselor Nealimentare şi Protecția Consumatorilor, </w:t>
            </w:r>
            <w:r w:rsidR="005706E0" w:rsidRPr="00650BD4">
              <w:rPr>
                <w:szCs w:val="24"/>
              </w:rPr>
              <w:t>Secretariatului Comunității Energetice</w:t>
            </w:r>
            <w:r w:rsidR="00C931D6" w:rsidRPr="00650BD4">
              <w:rPr>
                <w:szCs w:val="24"/>
              </w:rPr>
              <w:t>, A</w:t>
            </w:r>
            <w:r w:rsidR="005706E0" w:rsidRPr="00650BD4">
              <w:rPr>
                <w:szCs w:val="24"/>
              </w:rPr>
              <w:t>sociația furnizorilor de gaze naturale din RM</w:t>
            </w:r>
            <w:r w:rsidR="0056210F" w:rsidRPr="00650BD4">
              <w:rPr>
                <w:szCs w:val="24"/>
              </w:rPr>
              <w:t xml:space="preserve">. </w:t>
            </w:r>
            <w:r w:rsidRPr="00650BD4">
              <w:rPr>
                <w:szCs w:val="24"/>
              </w:rPr>
              <w:t>Propunerile parvenite la proiectul Hotărârii, precum şi informațiile cu privire la acceptarea sau respingerea acestora au fost incluse în sinteza obiecțiilor.</w:t>
            </w:r>
          </w:p>
          <w:p w14:paraId="5FB03C9D" w14:textId="623C71AD" w:rsidR="005706E0" w:rsidRPr="00650BD4" w:rsidRDefault="005706E0" w:rsidP="00566D2A">
            <w:pPr>
              <w:tabs>
                <w:tab w:val="right" w:pos="-2127"/>
                <w:tab w:val="left" w:pos="600"/>
                <w:tab w:val="left" w:pos="8325"/>
                <w:tab w:val="left" w:pos="9559"/>
              </w:tabs>
              <w:spacing w:line="276" w:lineRule="auto"/>
              <w:ind w:firstLine="405"/>
              <w:jc w:val="both"/>
              <w:rPr>
                <w:szCs w:val="24"/>
              </w:rPr>
            </w:pPr>
            <w:r w:rsidRPr="00650BD4">
              <w:rPr>
                <w:szCs w:val="24"/>
              </w:rPr>
              <w:t>Urmare a consultărilor efectuate au fost recepționate avize de la următoarele părți</w:t>
            </w:r>
            <w:r w:rsidR="00566D2A" w:rsidRPr="00650BD4">
              <w:rPr>
                <w:szCs w:val="24"/>
              </w:rPr>
              <w:t xml:space="preserve"> interesate</w:t>
            </w:r>
            <w:r w:rsidRPr="00650BD4">
              <w:rPr>
                <w:szCs w:val="24"/>
              </w:rPr>
              <w:t>:</w:t>
            </w:r>
          </w:p>
          <w:p w14:paraId="07122E9A" w14:textId="71010788" w:rsidR="005706E0" w:rsidRPr="00650BD4" w:rsidRDefault="005706E0" w:rsidP="00566D2A">
            <w:pPr>
              <w:tabs>
                <w:tab w:val="left" w:pos="8102"/>
                <w:tab w:val="left" w:pos="8325"/>
                <w:tab w:val="left" w:pos="9559"/>
              </w:tabs>
              <w:spacing w:line="276" w:lineRule="auto"/>
              <w:ind w:right="27" w:firstLine="405"/>
              <w:jc w:val="both"/>
              <w:rPr>
                <w:szCs w:val="24"/>
              </w:rPr>
            </w:pPr>
            <w:r w:rsidRPr="003C2EC7">
              <w:rPr>
                <w:i/>
                <w:iCs/>
                <w:szCs w:val="24"/>
              </w:rPr>
              <w:t>S.A. „Energocom”</w:t>
            </w:r>
            <w:r w:rsidRPr="00650BD4">
              <w:rPr>
                <w:b/>
                <w:szCs w:val="24"/>
              </w:rPr>
              <w:t xml:space="preserve"> –</w:t>
            </w:r>
            <w:r w:rsidRPr="00650BD4">
              <w:rPr>
                <w:szCs w:val="24"/>
              </w:rPr>
              <w:t xml:space="preserve"> </w:t>
            </w:r>
            <w:r w:rsidR="00235A9C" w:rsidRPr="00650BD4">
              <w:rPr>
                <w:szCs w:val="24"/>
              </w:rPr>
              <w:t>a prezentat</w:t>
            </w:r>
            <w:r w:rsidR="00B25DFF" w:rsidRPr="00650BD4">
              <w:rPr>
                <w:szCs w:val="24"/>
              </w:rPr>
              <w:t xml:space="preserve"> mai multe propuneri</w:t>
            </w:r>
            <w:r w:rsidR="00D268B0" w:rsidRPr="00650BD4">
              <w:rPr>
                <w:szCs w:val="24"/>
              </w:rPr>
              <w:t xml:space="preserve">, printre care </w:t>
            </w:r>
            <w:r w:rsidR="00235A9C" w:rsidRPr="00650BD4">
              <w:rPr>
                <w:szCs w:val="24"/>
              </w:rPr>
              <w:t>completarea Regulamentului privind furnizarea gazelor naturale cu noi noțiuni</w:t>
            </w:r>
            <w:r w:rsidR="00D268B0" w:rsidRPr="00650BD4">
              <w:rPr>
                <w:szCs w:val="24"/>
              </w:rPr>
              <w:t xml:space="preserve"> (autocitire, citire efectivă, consum estimativ </w:t>
            </w:r>
            <w:r w:rsidR="0056210F" w:rsidRPr="00650BD4">
              <w:rPr>
                <w:szCs w:val="24"/>
              </w:rPr>
              <w:t>ș.a)</w:t>
            </w:r>
            <w:r w:rsidR="00B25DFF" w:rsidRPr="00650BD4">
              <w:rPr>
                <w:szCs w:val="24"/>
              </w:rPr>
              <w:t xml:space="preserve">, </w:t>
            </w:r>
            <w:r w:rsidR="0056210F" w:rsidRPr="00650BD4">
              <w:rPr>
                <w:szCs w:val="24"/>
              </w:rPr>
              <w:t>dreptul</w:t>
            </w:r>
            <w:r w:rsidR="00B25DFF" w:rsidRPr="00650BD4">
              <w:rPr>
                <w:szCs w:val="24"/>
              </w:rPr>
              <w:t xml:space="preserve"> OSD de a încheiea contracte</w:t>
            </w:r>
            <w:r w:rsidR="0056210F" w:rsidRPr="00650BD4">
              <w:rPr>
                <w:szCs w:val="24"/>
              </w:rPr>
              <w:t xml:space="preserve"> pentru prestarea serviciilor</w:t>
            </w:r>
            <w:r w:rsidR="00B25DFF" w:rsidRPr="00650BD4">
              <w:rPr>
                <w:szCs w:val="24"/>
              </w:rPr>
              <w:t xml:space="preserve"> de distribuție a gazelor naturale cu consumatorii finali</w:t>
            </w:r>
            <w:r w:rsidR="00680126">
              <w:rPr>
                <w:szCs w:val="24"/>
              </w:rPr>
              <w:t xml:space="preserve"> </w:t>
            </w:r>
            <w:r w:rsidRPr="00650BD4">
              <w:rPr>
                <w:rFonts w:eastAsia="SimSun"/>
                <w:bCs/>
                <w:szCs w:val="24"/>
              </w:rPr>
              <w:t>ș.a.</w:t>
            </w:r>
          </w:p>
          <w:p w14:paraId="47A460B4" w14:textId="1AC2A9E2" w:rsidR="00E05582" w:rsidRPr="00650BD4" w:rsidRDefault="005706E0" w:rsidP="00566D2A">
            <w:pPr>
              <w:ind w:firstLine="345"/>
              <w:jc w:val="both"/>
              <w:rPr>
                <w:iCs/>
                <w:szCs w:val="24"/>
              </w:rPr>
            </w:pPr>
            <w:r w:rsidRPr="003C2EC7">
              <w:rPr>
                <w:i/>
                <w:iCs/>
                <w:szCs w:val="24"/>
              </w:rPr>
              <w:t>S</w:t>
            </w:r>
            <w:r w:rsidR="0003094E" w:rsidRPr="003C2EC7">
              <w:rPr>
                <w:i/>
                <w:iCs/>
                <w:szCs w:val="24"/>
              </w:rPr>
              <w:t xml:space="preserve">RL </w:t>
            </w:r>
            <w:r w:rsidRPr="003C2EC7">
              <w:rPr>
                <w:i/>
                <w:iCs/>
                <w:szCs w:val="24"/>
              </w:rPr>
              <w:t>„T</w:t>
            </w:r>
            <w:r w:rsidR="0003094E" w:rsidRPr="003C2EC7">
              <w:rPr>
                <w:i/>
                <w:iCs/>
                <w:szCs w:val="24"/>
              </w:rPr>
              <w:t>ransautogaz</w:t>
            </w:r>
            <w:r w:rsidRPr="003C2EC7">
              <w:rPr>
                <w:i/>
                <w:iCs/>
                <w:szCs w:val="24"/>
              </w:rPr>
              <w:t xml:space="preserve">” </w:t>
            </w:r>
            <w:r w:rsidRPr="00650BD4">
              <w:rPr>
                <w:szCs w:val="24"/>
              </w:rPr>
              <w:t>–</w:t>
            </w:r>
            <w:r w:rsidRPr="00650BD4">
              <w:rPr>
                <w:b/>
                <w:szCs w:val="24"/>
              </w:rPr>
              <w:t xml:space="preserve"> </w:t>
            </w:r>
            <w:r w:rsidRPr="00650BD4">
              <w:rPr>
                <w:szCs w:val="24"/>
              </w:rPr>
              <w:t xml:space="preserve">a propus </w:t>
            </w:r>
            <w:r w:rsidR="00653B40" w:rsidRPr="00650BD4">
              <w:rPr>
                <w:szCs w:val="24"/>
              </w:rPr>
              <w:t>ca prețul ofertelor, să fie publicate pe pagina electronică a furnizorilor</w:t>
            </w:r>
            <w:r w:rsidR="00220267" w:rsidRPr="00650BD4">
              <w:rPr>
                <w:szCs w:val="24"/>
              </w:rPr>
              <w:t xml:space="preserve"> cu titlu informativ și</w:t>
            </w:r>
            <w:r w:rsidR="00653B40" w:rsidRPr="00650BD4">
              <w:rPr>
                <w:szCs w:val="24"/>
              </w:rPr>
              <w:t xml:space="preserve"> poate fi modificat la momentul semnării</w:t>
            </w:r>
            <w:r w:rsidR="004E2229" w:rsidRPr="00650BD4">
              <w:rPr>
                <w:szCs w:val="24"/>
              </w:rPr>
              <w:t>.</w:t>
            </w:r>
            <w:r w:rsidR="00E05582" w:rsidRPr="00650BD4">
              <w:rPr>
                <w:szCs w:val="24"/>
              </w:rPr>
              <w:t xml:space="preserve"> </w:t>
            </w:r>
            <w:r w:rsidR="004E2229" w:rsidRPr="00650BD4">
              <w:rPr>
                <w:szCs w:val="24"/>
              </w:rPr>
              <w:t>Î</w:t>
            </w:r>
            <w:r w:rsidR="00E05582" w:rsidRPr="00650BD4">
              <w:rPr>
                <w:szCs w:val="24"/>
              </w:rPr>
              <w:t xml:space="preserve">n cazul neexecutării obligațiilor de plată de către consumatorul final, furnizorul rezoluționează </w:t>
            </w:r>
            <w:r w:rsidR="00E05582" w:rsidRPr="00650BD4">
              <w:rPr>
                <w:iCs/>
                <w:szCs w:val="24"/>
              </w:rPr>
              <w:t>contractul după 30 de zile calendaristice de la data deconectării.</w:t>
            </w:r>
          </w:p>
          <w:p w14:paraId="434FDC6E" w14:textId="2EBA9F1C" w:rsidR="00E91769" w:rsidRPr="00650BD4" w:rsidRDefault="005706E0" w:rsidP="008D3010">
            <w:pPr>
              <w:tabs>
                <w:tab w:val="right" w:pos="-2127"/>
                <w:tab w:val="left" w:pos="600"/>
                <w:tab w:val="left" w:pos="9559"/>
              </w:tabs>
              <w:spacing w:before="120" w:line="276" w:lineRule="auto"/>
              <w:ind w:right="28" w:firstLine="403"/>
              <w:jc w:val="both"/>
              <w:rPr>
                <w:szCs w:val="24"/>
              </w:rPr>
            </w:pPr>
            <w:r w:rsidRPr="003C2EC7">
              <w:rPr>
                <w:i/>
                <w:iCs/>
                <w:szCs w:val="24"/>
              </w:rPr>
              <w:t>Ministerul Energiei</w:t>
            </w:r>
            <w:r w:rsidRPr="00650BD4">
              <w:rPr>
                <w:szCs w:val="24"/>
              </w:rPr>
              <w:t xml:space="preserve">  </w:t>
            </w:r>
            <w:r w:rsidRPr="00650BD4">
              <w:rPr>
                <w:b/>
                <w:szCs w:val="24"/>
              </w:rPr>
              <w:t>–</w:t>
            </w:r>
            <w:r w:rsidRPr="00650BD4">
              <w:rPr>
                <w:szCs w:val="24"/>
              </w:rPr>
              <w:t xml:space="preserve"> a prezentat propuneri</w:t>
            </w:r>
            <w:r w:rsidR="00193D3A" w:rsidRPr="00650BD4">
              <w:rPr>
                <w:szCs w:val="24"/>
              </w:rPr>
              <w:t xml:space="preserve"> atât la proiectul Regulamentului pentru furnizarea gazelor naturale cât și Regulamentul </w:t>
            </w:r>
            <w:r w:rsidR="00C931D6" w:rsidRPr="00650BD4">
              <w:rPr>
                <w:szCs w:val="24"/>
              </w:rPr>
              <w:t xml:space="preserve">privind procedura </w:t>
            </w:r>
            <w:r w:rsidR="00193D3A" w:rsidRPr="00650BD4">
              <w:rPr>
                <w:szCs w:val="24"/>
              </w:rPr>
              <w:t xml:space="preserve">de schimbare a furnizorului și anume </w:t>
            </w:r>
            <w:r w:rsidRPr="00650BD4">
              <w:rPr>
                <w:szCs w:val="24"/>
              </w:rPr>
              <w:t>referitor la</w:t>
            </w:r>
            <w:r w:rsidR="00E91769" w:rsidRPr="00650BD4">
              <w:rPr>
                <w:szCs w:val="24"/>
              </w:rPr>
              <w:t xml:space="preserve"> încheierea acordului de</w:t>
            </w:r>
            <w:r w:rsidR="00E91769" w:rsidRPr="00650BD4">
              <w:rPr>
                <w:iCs/>
                <w:szCs w:val="24"/>
              </w:rPr>
              <w:t xml:space="preserve"> eșalonare a datoriilor </w:t>
            </w:r>
            <w:r w:rsidR="00193D3A" w:rsidRPr="00650BD4">
              <w:rPr>
                <w:iCs/>
                <w:szCs w:val="24"/>
              </w:rPr>
              <w:t xml:space="preserve">între consumatorul final </w:t>
            </w:r>
            <w:r w:rsidR="00E91769" w:rsidRPr="00650BD4">
              <w:rPr>
                <w:iCs/>
                <w:szCs w:val="24"/>
              </w:rPr>
              <w:t>cu furnizorul actual</w:t>
            </w:r>
            <w:r w:rsidR="00193D3A" w:rsidRPr="00650BD4">
              <w:rPr>
                <w:iCs/>
                <w:szCs w:val="24"/>
              </w:rPr>
              <w:t>.</w:t>
            </w:r>
            <w:r w:rsidR="00E91769" w:rsidRPr="00650BD4">
              <w:rPr>
                <w:iCs/>
                <w:szCs w:val="24"/>
              </w:rPr>
              <w:t xml:space="preserve"> </w:t>
            </w:r>
            <w:r w:rsidRPr="00650BD4">
              <w:rPr>
                <w:szCs w:val="24"/>
              </w:rPr>
              <w:t xml:space="preserve"> </w:t>
            </w:r>
          </w:p>
          <w:p w14:paraId="7E11ED34" w14:textId="7F7A0F0B" w:rsidR="004E2229" w:rsidRPr="00650BD4" w:rsidRDefault="00B65A5D" w:rsidP="00566D2A">
            <w:pPr>
              <w:tabs>
                <w:tab w:val="right" w:pos="-2127"/>
                <w:tab w:val="left" w:pos="600"/>
                <w:tab w:val="left" w:pos="9559"/>
              </w:tabs>
              <w:spacing w:line="276" w:lineRule="auto"/>
              <w:ind w:right="27" w:firstLine="405"/>
              <w:jc w:val="both"/>
              <w:rPr>
                <w:szCs w:val="24"/>
              </w:rPr>
            </w:pPr>
            <w:r w:rsidRPr="003C2EC7">
              <w:rPr>
                <w:i/>
                <w:iCs/>
                <w:szCs w:val="24"/>
              </w:rPr>
              <w:t>A</w:t>
            </w:r>
            <w:r w:rsidR="00566D2A" w:rsidRPr="003C2EC7">
              <w:rPr>
                <w:i/>
                <w:iCs/>
                <w:szCs w:val="24"/>
              </w:rPr>
              <w:t xml:space="preserve">sociația furnizorilor </w:t>
            </w:r>
            <w:r w:rsidR="00AD5865" w:rsidRPr="003C2EC7">
              <w:rPr>
                <w:i/>
                <w:iCs/>
                <w:szCs w:val="24"/>
              </w:rPr>
              <w:t>(AFNG)</w:t>
            </w:r>
            <w:r w:rsidR="00AD5865" w:rsidRPr="00650BD4">
              <w:rPr>
                <w:b/>
                <w:szCs w:val="24"/>
              </w:rPr>
              <w:t xml:space="preserve"> </w:t>
            </w:r>
            <w:r w:rsidR="00C931D6" w:rsidRPr="00650BD4">
              <w:rPr>
                <w:b/>
                <w:szCs w:val="24"/>
              </w:rPr>
              <w:t xml:space="preserve">– </w:t>
            </w:r>
            <w:r w:rsidR="00C931D6" w:rsidRPr="00650BD4">
              <w:rPr>
                <w:szCs w:val="24"/>
              </w:rPr>
              <w:t xml:space="preserve">a propus </w:t>
            </w:r>
            <w:r w:rsidR="00566D2A" w:rsidRPr="00650BD4">
              <w:rPr>
                <w:szCs w:val="24"/>
              </w:rPr>
              <w:t xml:space="preserve">schimbarea abordării existente în privința constatării consumului fraudulos de gaze naturale, </w:t>
            </w:r>
            <w:r w:rsidR="0056210F" w:rsidRPr="00650BD4">
              <w:rPr>
                <w:szCs w:val="24"/>
              </w:rPr>
              <w:t xml:space="preserve">eliminarea termenului de 12 luni la încheierea contractelor de furnizare a gazelor naturale pe perioadă determinată și la preț fix, </w:t>
            </w:r>
            <w:r w:rsidR="00566D2A" w:rsidRPr="00650BD4">
              <w:rPr>
                <w:szCs w:val="24"/>
              </w:rPr>
              <w:t xml:space="preserve"> </w:t>
            </w:r>
            <w:r w:rsidR="00C931D6" w:rsidRPr="00650BD4">
              <w:rPr>
                <w:szCs w:val="24"/>
              </w:rPr>
              <w:t xml:space="preserve">micșorarea termenului de examinare </w:t>
            </w:r>
            <w:r w:rsidR="00F10344" w:rsidRPr="00650BD4">
              <w:rPr>
                <w:szCs w:val="24"/>
              </w:rPr>
              <w:t xml:space="preserve">de către furnizor </w:t>
            </w:r>
            <w:r w:rsidR="00AF4A1E" w:rsidRPr="00650BD4">
              <w:rPr>
                <w:szCs w:val="24"/>
              </w:rPr>
              <w:t xml:space="preserve">a </w:t>
            </w:r>
            <w:r w:rsidR="00F10344" w:rsidRPr="00650BD4">
              <w:rPr>
                <w:szCs w:val="24"/>
              </w:rPr>
              <w:t xml:space="preserve">pețiților înaintate de consumatorii finali, de către </w:t>
            </w:r>
            <w:r w:rsidR="00566D2A" w:rsidRPr="00650BD4">
              <w:rPr>
                <w:szCs w:val="24"/>
              </w:rPr>
              <w:t>alți</w:t>
            </w:r>
            <w:r w:rsidR="00F10344" w:rsidRPr="00650BD4">
              <w:rPr>
                <w:szCs w:val="24"/>
              </w:rPr>
              <w:t xml:space="preserve"> titulari de licență din sectorul energetic.  </w:t>
            </w:r>
          </w:p>
          <w:p w14:paraId="1A5AB4E5" w14:textId="1F9594BD" w:rsidR="00AF4A1E" w:rsidRPr="00650BD4" w:rsidRDefault="004E2229" w:rsidP="005A7B0A">
            <w:pPr>
              <w:jc w:val="both"/>
              <w:rPr>
                <w:szCs w:val="24"/>
              </w:rPr>
            </w:pPr>
            <w:r w:rsidRPr="00650BD4">
              <w:rPr>
                <w:b/>
                <w:szCs w:val="24"/>
              </w:rPr>
              <w:t xml:space="preserve">       </w:t>
            </w:r>
            <w:r w:rsidRPr="003C2EC7">
              <w:rPr>
                <w:i/>
                <w:iCs/>
                <w:szCs w:val="24"/>
              </w:rPr>
              <w:t xml:space="preserve">SRL </w:t>
            </w:r>
            <w:r w:rsidR="00D94288" w:rsidRPr="003C2EC7">
              <w:rPr>
                <w:i/>
                <w:iCs/>
                <w:szCs w:val="24"/>
              </w:rPr>
              <w:t xml:space="preserve"> „</w:t>
            </w:r>
            <w:r w:rsidRPr="003C2EC7">
              <w:rPr>
                <w:i/>
                <w:iCs/>
                <w:szCs w:val="24"/>
              </w:rPr>
              <w:t>Navitas Energy</w:t>
            </w:r>
            <w:r w:rsidR="00D94288" w:rsidRPr="003C2EC7">
              <w:rPr>
                <w:i/>
                <w:iCs/>
                <w:szCs w:val="24"/>
              </w:rPr>
              <w:t>”</w:t>
            </w:r>
            <w:r w:rsidRPr="00650BD4">
              <w:rPr>
                <w:b/>
                <w:szCs w:val="24"/>
              </w:rPr>
              <w:t xml:space="preserve"> </w:t>
            </w:r>
            <w:r w:rsidR="009629A5" w:rsidRPr="00650BD4">
              <w:rPr>
                <w:b/>
                <w:szCs w:val="24"/>
              </w:rPr>
              <w:t xml:space="preserve">– </w:t>
            </w:r>
            <w:r w:rsidR="009629A5" w:rsidRPr="00650BD4">
              <w:rPr>
                <w:szCs w:val="24"/>
              </w:rPr>
              <w:t xml:space="preserve">a propus completarea </w:t>
            </w:r>
            <w:r w:rsidR="00B03390" w:rsidRPr="00650BD4">
              <w:rPr>
                <w:szCs w:val="24"/>
              </w:rPr>
              <w:t>Regulamentului cu noțiunea</w:t>
            </w:r>
            <w:r w:rsidR="00B03390" w:rsidRPr="009C614F">
              <w:rPr>
                <w:szCs w:val="24"/>
              </w:rPr>
              <w:t xml:space="preserve"> </w:t>
            </w:r>
            <w:r w:rsidR="00B03390" w:rsidRPr="003C2EC7">
              <w:rPr>
                <w:szCs w:val="24"/>
              </w:rPr>
              <w:t xml:space="preserve">flexibilitate prin stocare în conductă, </w:t>
            </w:r>
            <w:r w:rsidR="00D37B9E" w:rsidRPr="00650BD4">
              <w:rPr>
                <w:szCs w:val="24"/>
              </w:rPr>
              <w:t>încheierea contractului de furnizare a gazelor naturale în regim concurențial</w:t>
            </w:r>
            <w:r w:rsidR="00B03390" w:rsidRPr="00650BD4">
              <w:rPr>
                <w:sz w:val="20"/>
                <w:szCs w:val="20"/>
              </w:rPr>
              <w:t xml:space="preserve">, </w:t>
            </w:r>
            <w:r w:rsidR="0075215D" w:rsidRPr="00650BD4">
              <w:rPr>
                <w:sz w:val="20"/>
                <w:szCs w:val="20"/>
              </w:rPr>
              <w:t xml:space="preserve"> </w:t>
            </w:r>
            <w:r w:rsidR="0075215D" w:rsidRPr="00650BD4">
              <w:rPr>
                <w:szCs w:val="24"/>
              </w:rPr>
              <w:t xml:space="preserve">obligația consumatorului noncasnic </w:t>
            </w:r>
            <w:r w:rsidR="00976E9F" w:rsidRPr="00650BD4">
              <w:rPr>
                <w:szCs w:val="24"/>
              </w:rPr>
              <w:t xml:space="preserve">(când </w:t>
            </w:r>
            <w:r w:rsidR="00AC36B4" w:rsidRPr="00650BD4">
              <w:rPr>
                <w:szCs w:val="24"/>
              </w:rPr>
              <w:t xml:space="preserve">consumatorul noncasnic </w:t>
            </w:r>
            <w:r w:rsidR="00976E9F" w:rsidRPr="00650BD4">
              <w:rPr>
                <w:szCs w:val="24"/>
              </w:rPr>
              <w:t xml:space="preserve">are mai multe contracte la un loc de consum cu furnizori diferiți)  </w:t>
            </w:r>
            <w:r w:rsidR="0075215D" w:rsidRPr="00650BD4">
              <w:rPr>
                <w:szCs w:val="24"/>
              </w:rPr>
              <w:t>și a furnizorului responsabil de echilibrare</w:t>
            </w:r>
            <w:r w:rsidR="00AD5865" w:rsidRPr="00650BD4">
              <w:rPr>
                <w:szCs w:val="24"/>
              </w:rPr>
              <w:t xml:space="preserve"> de a informa OS despre asumarea responsabilității </w:t>
            </w:r>
            <w:r w:rsidR="00AF4A1E" w:rsidRPr="00650BD4">
              <w:rPr>
                <w:szCs w:val="24"/>
              </w:rPr>
              <w:t xml:space="preserve">de echilibrare </w:t>
            </w:r>
            <w:r w:rsidR="00B4709D" w:rsidRPr="00650BD4">
              <w:rPr>
                <w:szCs w:val="24"/>
              </w:rPr>
              <w:t>și a celorlalți furnizori, posibilitate</w:t>
            </w:r>
            <w:r w:rsidR="00020244" w:rsidRPr="00650BD4">
              <w:rPr>
                <w:szCs w:val="24"/>
              </w:rPr>
              <w:t>a</w:t>
            </w:r>
            <w:r w:rsidR="00B4709D" w:rsidRPr="00650BD4">
              <w:rPr>
                <w:szCs w:val="24"/>
              </w:rPr>
              <w:t xml:space="preserve"> </w:t>
            </w:r>
            <w:r w:rsidR="00020244" w:rsidRPr="00650BD4">
              <w:rPr>
                <w:szCs w:val="24"/>
              </w:rPr>
              <w:t xml:space="preserve">furnizorului </w:t>
            </w:r>
            <w:r w:rsidR="00B4709D" w:rsidRPr="00650BD4">
              <w:rPr>
                <w:szCs w:val="24"/>
              </w:rPr>
              <w:t xml:space="preserve">de </w:t>
            </w:r>
            <w:r w:rsidR="00020244" w:rsidRPr="00650BD4">
              <w:rPr>
                <w:szCs w:val="24"/>
              </w:rPr>
              <w:t xml:space="preserve">a </w:t>
            </w:r>
            <w:r w:rsidR="00B4709D" w:rsidRPr="00650BD4">
              <w:rPr>
                <w:szCs w:val="24"/>
              </w:rPr>
              <w:t>negoci</w:t>
            </w:r>
            <w:r w:rsidR="00020244" w:rsidRPr="00650BD4">
              <w:rPr>
                <w:szCs w:val="24"/>
              </w:rPr>
              <w:t>a</w:t>
            </w:r>
            <w:r w:rsidR="00B4709D" w:rsidRPr="00650BD4">
              <w:rPr>
                <w:szCs w:val="24"/>
              </w:rPr>
              <w:t xml:space="preserve"> </w:t>
            </w:r>
            <w:r w:rsidR="00020244" w:rsidRPr="00650BD4">
              <w:rPr>
                <w:szCs w:val="24"/>
              </w:rPr>
              <w:t xml:space="preserve">cu consumatorul casnic, noncasnic mic </w:t>
            </w:r>
            <w:r w:rsidR="00976E9F" w:rsidRPr="00650BD4">
              <w:rPr>
                <w:szCs w:val="24"/>
              </w:rPr>
              <w:t xml:space="preserve">privind </w:t>
            </w:r>
            <w:r w:rsidR="00B4709D" w:rsidRPr="00650BD4">
              <w:rPr>
                <w:szCs w:val="24"/>
              </w:rPr>
              <w:t xml:space="preserve"> </w:t>
            </w:r>
            <w:r w:rsidR="00976E9F" w:rsidRPr="00650BD4">
              <w:rPr>
                <w:szCs w:val="24"/>
              </w:rPr>
              <w:t xml:space="preserve">modificarea tarifului de furnizare și/sau a condițiilor comerciale ale contractului </w:t>
            </w:r>
            <w:r w:rsidR="00AF4A1E" w:rsidRPr="00650BD4">
              <w:rPr>
                <w:szCs w:val="24"/>
              </w:rPr>
              <w:t>ș.a.</w:t>
            </w:r>
          </w:p>
          <w:p w14:paraId="4924C425" w14:textId="239A060E" w:rsidR="004E2229" w:rsidRPr="00650BD4" w:rsidRDefault="00AF4A1E" w:rsidP="005A7B0A">
            <w:pPr>
              <w:jc w:val="both"/>
              <w:rPr>
                <w:iCs/>
                <w:szCs w:val="24"/>
              </w:rPr>
            </w:pPr>
            <w:r w:rsidRPr="00650BD4">
              <w:rPr>
                <w:b/>
                <w:szCs w:val="24"/>
              </w:rPr>
              <w:t xml:space="preserve">        </w:t>
            </w:r>
            <w:r w:rsidRPr="003C2EC7">
              <w:rPr>
                <w:i/>
                <w:iCs/>
                <w:szCs w:val="24"/>
              </w:rPr>
              <w:t xml:space="preserve">SRL </w:t>
            </w:r>
            <w:r w:rsidR="00D94288" w:rsidRPr="003C2EC7">
              <w:rPr>
                <w:i/>
                <w:iCs/>
                <w:szCs w:val="24"/>
              </w:rPr>
              <w:t>„</w:t>
            </w:r>
            <w:r w:rsidRPr="003C2EC7">
              <w:rPr>
                <w:i/>
                <w:iCs/>
                <w:szCs w:val="24"/>
              </w:rPr>
              <w:t>ERU AURORA</w:t>
            </w:r>
            <w:r w:rsidR="00D94288" w:rsidRPr="003C2EC7">
              <w:rPr>
                <w:i/>
                <w:iCs/>
                <w:szCs w:val="24"/>
              </w:rPr>
              <w:t>”</w:t>
            </w:r>
            <w:r w:rsidRPr="00650BD4">
              <w:rPr>
                <w:b/>
                <w:szCs w:val="24"/>
              </w:rPr>
              <w:t xml:space="preserve"> </w:t>
            </w:r>
            <w:r w:rsidR="00020244" w:rsidRPr="00650BD4">
              <w:rPr>
                <w:b/>
                <w:szCs w:val="24"/>
              </w:rPr>
              <w:t>–</w:t>
            </w:r>
            <w:r w:rsidR="006D23D4" w:rsidRPr="00650BD4">
              <w:rPr>
                <w:b/>
                <w:szCs w:val="24"/>
              </w:rPr>
              <w:t xml:space="preserve"> </w:t>
            </w:r>
            <w:r w:rsidR="00020244" w:rsidRPr="00650BD4">
              <w:rPr>
                <w:szCs w:val="24"/>
              </w:rPr>
              <w:t>a propus</w:t>
            </w:r>
            <w:r w:rsidR="00020244" w:rsidRPr="00650BD4">
              <w:rPr>
                <w:b/>
                <w:szCs w:val="24"/>
              </w:rPr>
              <w:t xml:space="preserve"> </w:t>
            </w:r>
            <w:r w:rsidR="006D23D4" w:rsidRPr="00650BD4">
              <w:rPr>
                <w:b/>
                <w:szCs w:val="24"/>
              </w:rPr>
              <w:t xml:space="preserve"> </w:t>
            </w:r>
            <w:r w:rsidR="009F28ED" w:rsidRPr="00650BD4">
              <w:rPr>
                <w:szCs w:val="24"/>
              </w:rPr>
              <w:t xml:space="preserve">includerea </w:t>
            </w:r>
            <w:r w:rsidR="004E2DE9" w:rsidRPr="00650BD4">
              <w:rPr>
                <w:szCs w:val="24"/>
              </w:rPr>
              <w:t>consumatorului</w:t>
            </w:r>
            <w:r w:rsidR="009F28ED" w:rsidRPr="00650BD4">
              <w:rPr>
                <w:szCs w:val="24"/>
              </w:rPr>
              <w:t xml:space="preserve"> ca parte responsabilă de echilibrare, </w:t>
            </w:r>
            <w:r w:rsidR="008902B9" w:rsidRPr="00650BD4">
              <w:rPr>
                <w:szCs w:val="24"/>
              </w:rPr>
              <w:t xml:space="preserve">a impune </w:t>
            </w:r>
            <w:r w:rsidR="009F28ED" w:rsidRPr="00650BD4">
              <w:rPr>
                <w:szCs w:val="24"/>
              </w:rPr>
              <w:t>obligația furnizorilor</w:t>
            </w:r>
            <w:r w:rsidR="00020244" w:rsidRPr="00650BD4">
              <w:rPr>
                <w:szCs w:val="24"/>
              </w:rPr>
              <w:t xml:space="preserve"> la același loc de consum să asigure semnarea unui acord comun privind modalitatea de alocare a cantităților de gaze pentru fiecare dintre furnizori,</w:t>
            </w:r>
            <w:r w:rsidR="004E2DE9" w:rsidRPr="00650BD4">
              <w:rPr>
                <w:szCs w:val="24"/>
              </w:rPr>
              <w:t xml:space="preserve"> majorarea termenului de notificare de la 15-20 de zile privind</w:t>
            </w:r>
            <w:r w:rsidR="009F28ED" w:rsidRPr="00650BD4">
              <w:rPr>
                <w:szCs w:val="24"/>
              </w:rPr>
              <w:t xml:space="preserve"> </w:t>
            </w:r>
            <w:r w:rsidR="009F28ED" w:rsidRPr="00650BD4">
              <w:rPr>
                <w:iCs/>
                <w:szCs w:val="24"/>
              </w:rPr>
              <w:t>modificarea volumelor lunare sau trimestriale de gaze naturale contractate, indicate în contractul de furnizare a gazelor naturale</w:t>
            </w:r>
            <w:r w:rsidR="003B203C" w:rsidRPr="00650BD4">
              <w:rPr>
                <w:iCs/>
                <w:szCs w:val="24"/>
              </w:rPr>
              <w:t xml:space="preserve"> ș.a.</w:t>
            </w:r>
          </w:p>
          <w:p w14:paraId="7FBB4E2E" w14:textId="204D9241" w:rsidR="008902B9" w:rsidRPr="00650BD4" w:rsidRDefault="008902B9" w:rsidP="003C2EC7">
            <w:pPr>
              <w:ind w:right="40"/>
              <w:jc w:val="both"/>
              <w:rPr>
                <w:szCs w:val="24"/>
              </w:rPr>
            </w:pPr>
            <w:r w:rsidRPr="00650BD4">
              <w:rPr>
                <w:b/>
                <w:szCs w:val="24"/>
              </w:rPr>
              <w:lastRenderedPageBreak/>
              <w:t xml:space="preserve">       </w:t>
            </w:r>
            <w:r w:rsidRPr="003C2EC7">
              <w:rPr>
                <w:i/>
                <w:iCs/>
                <w:szCs w:val="24"/>
              </w:rPr>
              <w:t xml:space="preserve">SD </w:t>
            </w:r>
            <w:r w:rsidR="00D94288" w:rsidRPr="003C2EC7">
              <w:rPr>
                <w:i/>
                <w:iCs/>
                <w:szCs w:val="24"/>
              </w:rPr>
              <w:t>„</w:t>
            </w:r>
            <w:r w:rsidRPr="003C2EC7">
              <w:rPr>
                <w:i/>
                <w:iCs/>
                <w:szCs w:val="24"/>
              </w:rPr>
              <w:t>Energy Engineering Group</w:t>
            </w:r>
            <w:r w:rsidR="00D94288" w:rsidRPr="003C2EC7">
              <w:rPr>
                <w:i/>
                <w:iCs/>
                <w:szCs w:val="24"/>
              </w:rPr>
              <w:t>”</w:t>
            </w:r>
            <w:r w:rsidRPr="003C2EC7">
              <w:rPr>
                <w:i/>
                <w:iCs/>
                <w:szCs w:val="24"/>
              </w:rPr>
              <w:t xml:space="preserve"> </w:t>
            </w:r>
            <w:r w:rsidRPr="00650BD4">
              <w:rPr>
                <w:b/>
                <w:szCs w:val="24"/>
              </w:rPr>
              <w:t>–</w:t>
            </w:r>
            <w:r w:rsidRPr="00650BD4">
              <w:rPr>
                <w:szCs w:val="24"/>
              </w:rPr>
              <w:t xml:space="preserve"> a propus</w:t>
            </w:r>
            <w:r w:rsidR="009601BA" w:rsidRPr="00650BD4">
              <w:rPr>
                <w:sz w:val="20"/>
                <w:szCs w:val="20"/>
              </w:rPr>
              <w:t xml:space="preserve"> </w:t>
            </w:r>
            <w:r w:rsidR="009601BA" w:rsidRPr="00650BD4">
              <w:rPr>
                <w:szCs w:val="24"/>
              </w:rPr>
              <w:t>excluderea din proiect a Secțiunii 1¹ Principiile, procedura şi cerinţele care trebuie respectate în legătură cu încheierea contractelor pe durată determinată şi la preţ  fix</w:t>
            </w:r>
            <w:r w:rsidR="00D94288" w:rsidRPr="00650BD4">
              <w:rPr>
                <w:szCs w:val="24"/>
              </w:rPr>
              <w:t xml:space="preserve"> și a Secțiunii 6</w:t>
            </w:r>
            <w:r w:rsidR="00D94288" w:rsidRPr="00650BD4">
              <w:rPr>
                <w:szCs w:val="24"/>
                <w:vertAlign w:val="superscript"/>
              </w:rPr>
              <w:t>1</w:t>
            </w:r>
            <w:r w:rsidR="00D94288" w:rsidRPr="00650BD4">
              <w:rPr>
                <w:szCs w:val="24"/>
              </w:rPr>
              <w:t xml:space="preserve"> Instrumentul de comparare a </w:t>
            </w:r>
            <w:r w:rsidR="009C614F">
              <w:rPr>
                <w:szCs w:val="24"/>
              </w:rPr>
              <w:t>o</w:t>
            </w:r>
            <w:r w:rsidR="00D94288" w:rsidRPr="00650BD4">
              <w:rPr>
                <w:szCs w:val="24"/>
              </w:rPr>
              <w:t>fertelor</w:t>
            </w:r>
            <w:r w:rsidR="00292278" w:rsidRPr="00650BD4">
              <w:rPr>
                <w:szCs w:val="24"/>
              </w:rPr>
              <w:t xml:space="preserve">, </w:t>
            </w:r>
            <w:r w:rsidRPr="00650BD4">
              <w:rPr>
                <w:szCs w:val="24"/>
              </w:rPr>
              <w:t>schimbarea abordării existente în privința constatării consumului fraudulos de gaze naturale</w:t>
            </w:r>
            <w:r w:rsidR="009601BA" w:rsidRPr="00650BD4">
              <w:rPr>
                <w:szCs w:val="24"/>
              </w:rPr>
              <w:t xml:space="preserve"> cu transmiterea atribuțiilor integrale OS</w:t>
            </w:r>
            <w:r w:rsidR="00D94288" w:rsidRPr="00650BD4">
              <w:rPr>
                <w:szCs w:val="24"/>
              </w:rPr>
              <w:t>.</w:t>
            </w:r>
          </w:p>
          <w:p w14:paraId="2813AF90" w14:textId="5140CBB6" w:rsidR="00D94288" w:rsidRPr="00650BD4" w:rsidRDefault="00D94288" w:rsidP="003C2EC7">
            <w:pPr>
              <w:ind w:right="40"/>
              <w:jc w:val="both"/>
              <w:rPr>
                <w:b/>
                <w:szCs w:val="24"/>
              </w:rPr>
            </w:pPr>
            <w:r w:rsidRPr="00650BD4">
              <w:rPr>
                <w:szCs w:val="24"/>
              </w:rPr>
              <w:t xml:space="preserve">        </w:t>
            </w:r>
            <w:r w:rsidRPr="003C2EC7">
              <w:rPr>
                <w:i/>
                <w:iCs/>
                <w:szCs w:val="24"/>
              </w:rPr>
              <w:t>SRL „Chișinău-gaz”</w:t>
            </w:r>
            <w:r w:rsidRPr="00650BD4">
              <w:rPr>
                <w:b/>
                <w:iCs/>
                <w:szCs w:val="24"/>
              </w:rPr>
              <w:t xml:space="preserve"> </w:t>
            </w:r>
            <w:r w:rsidRPr="00650BD4">
              <w:rPr>
                <w:b/>
                <w:szCs w:val="24"/>
              </w:rPr>
              <w:t xml:space="preserve">– </w:t>
            </w:r>
            <w:r w:rsidR="00176E27" w:rsidRPr="00650BD4">
              <w:rPr>
                <w:szCs w:val="24"/>
              </w:rPr>
              <w:t>a propus</w:t>
            </w:r>
            <w:r w:rsidR="00176E27" w:rsidRPr="00650BD4">
              <w:rPr>
                <w:b/>
                <w:szCs w:val="24"/>
              </w:rPr>
              <w:t xml:space="preserve"> </w:t>
            </w:r>
            <w:r w:rsidR="00176E27" w:rsidRPr="00650BD4">
              <w:rPr>
                <w:szCs w:val="24"/>
              </w:rPr>
              <w:t>schimbarea abordării existente în privința constatării consumului fraudulos de gaze naturale cu transmiterea atribuțiilor integrale OSD</w:t>
            </w:r>
            <w:r w:rsidR="003B6F4E" w:rsidRPr="00650BD4">
              <w:rPr>
                <w:szCs w:val="24"/>
              </w:rPr>
              <w:t>.</w:t>
            </w:r>
          </w:p>
          <w:p w14:paraId="41F356E2" w14:textId="38FC0BA2" w:rsidR="00566D2A" w:rsidRPr="00650BD4" w:rsidRDefault="00F10344" w:rsidP="005A7B0A">
            <w:pPr>
              <w:tabs>
                <w:tab w:val="right" w:pos="-2127"/>
                <w:tab w:val="left" w:pos="600"/>
                <w:tab w:val="left" w:pos="9559"/>
              </w:tabs>
              <w:spacing w:line="276" w:lineRule="auto"/>
              <w:ind w:right="27" w:firstLine="405"/>
              <w:jc w:val="both"/>
              <w:rPr>
                <w:bCs/>
                <w:szCs w:val="24"/>
              </w:rPr>
            </w:pPr>
            <w:r w:rsidRPr="00650BD4">
              <w:rPr>
                <w:b/>
                <w:szCs w:val="24"/>
              </w:rPr>
              <w:t xml:space="preserve"> </w:t>
            </w:r>
            <w:r w:rsidR="005706E0" w:rsidRPr="003C2EC7">
              <w:rPr>
                <w:i/>
                <w:iCs/>
                <w:szCs w:val="24"/>
              </w:rPr>
              <w:t xml:space="preserve">Consiliul Concurenței, </w:t>
            </w:r>
            <w:r w:rsidR="00BC2E91" w:rsidRPr="003C2EC7">
              <w:rPr>
                <w:i/>
                <w:iCs/>
                <w:szCs w:val="24"/>
              </w:rPr>
              <w:t>Agenția Proprietății P</w:t>
            </w:r>
            <w:r w:rsidR="00193D3A" w:rsidRPr="003C2EC7">
              <w:rPr>
                <w:i/>
                <w:iCs/>
                <w:szCs w:val="24"/>
              </w:rPr>
              <w:t>ublice</w:t>
            </w:r>
            <w:r w:rsidR="00BC2E91" w:rsidRPr="003C2EC7">
              <w:rPr>
                <w:i/>
                <w:iCs/>
                <w:szCs w:val="24"/>
              </w:rPr>
              <w:t xml:space="preserve">, </w:t>
            </w:r>
            <w:r w:rsidR="005706E0" w:rsidRPr="003C2EC7">
              <w:rPr>
                <w:i/>
                <w:iCs/>
                <w:szCs w:val="24"/>
              </w:rPr>
              <w:t>Inspectoratul de Stat pentru Supravegherea Produselor Nealiment</w:t>
            </w:r>
            <w:r w:rsidR="00BC2E91" w:rsidRPr="003C2EC7">
              <w:rPr>
                <w:i/>
                <w:iCs/>
                <w:szCs w:val="24"/>
              </w:rPr>
              <w:t>are și Protecția Consumatorilor</w:t>
            </w:r>
            <w:r w:rsidR="005706E0" w:rsidRPr="00650BD4">
              <w:rPr>
                <w:bCs/>
                <w:szCs w:val="24"/>
              </w:rPr>
              <w:t xml:space="preserve"> </w:t>
            </w:r>
            <w:r w:rsidR="00BC2E91" w:rsidRPr="00650BD4">
              <w:rPr>
                <w:bCs/>
                <w:szCs w:val="24"/>
              </w:rPr>
              <w:t>– lipsa de</w:t>
            </w:r>
            <w:r w:rsidR="005706E0" w:rsidRPr="00650BD4">
              <w:rPr>
                <w:bCs/>
                <w:szCs w:val="24"/>
              </w:rPr>
              <w:t xml:space="preserve"> propuneri și obiecții.</w:t>
            </w:r>
            <w:r w:rsidR="00566D2A" w:rsidRPr="00650BD4">
              <w:rPr>
                <w:bCs/>
                <w:szCs w:val="24"/>
              </w:rPr>
              <w:t xml:space="preserve"> </w:t>
            </w:r>
          </w:p>
          <w:p w14:paraId="4BB816B2" w14:textId="6A6ED98B" w:rsidR="0012211C" w:rsidRPr="00650BD4" w:rsidRDefault="00566D2A" w:rsidP="003C2EC7">
            <w:pPr>
              <w:snapToGrid w:val="0"/>
              <w:spacing w:line="276" w:lineRule="auto"/>
              <w:ind w:firstLine="450"/>
              <w:jc w:val="both"/>
              <w:rPr>
                <w:rFonts w:cs="Times New Roman"/>
                <w:szCs w:val="24"/>
              </w:rPr>
            </w:pPr>
            <w:r w:rsidRPr="00650BD4">
              <w:rPr>
                <w:szCs w:val="24"/>
              </w:rPr>
              <w:t xml:space="preserve">ANRE a organizat </w:t>
            </w:r>
            <w:r w:rsidR="0056210F" w:rsidRPr="00650BD4">
              <w:rPr>
                <w:szCs w:val="24"/>
              </w:rPr>
              <w:t xml:space="preserve">o </w:t>
            </w:r>
            <w:r w:rsidRPr="00650BD4">
              <w:rPr>
                <w:szCs w:val="24"/>
              </w:rPr>
              <w:t>ș</w:t>
            </w:r>
            <w:r w:rsidR="0056210F" w:rsidRPr="00650BD4">
              <w:rPr>
                <w:szCs w:val="24"/>
              </w:rPr>
              <w:t>edință de lucru cu părțile interesate</w:t>
            </w:r>
            <w:r w:rsidR="003C2EC7">
              <w:rPr>
                <w:szCs w:val="24"/>
              </w:rPr>
              <w:t xml:space="preserve"> și </w:t>
            </w:r>
            <w:r w:rsidRPr="00650BD4">
              <w:rPr>
                <w:szCs w:val="24"/>
              </w:rPr>
              <w:t>a definitivat proiectul Hotărârii.</w:t>
            </w:r>
            <w:r w:rsidR="00113F0E" w:rsidRPr="00650BD4">
              <w:rPr>
                <w:szCs w:val="24"/>
              </w:rPr>
              <w:t xml:space="preserve"> </w:t>
            </w:r>
          </w:p>
        </w:tc>
      </w:tr>
      <w:tr w:rsidR="00650BD4" w:rsidRPr="00650BD4" w14:paraId="702A2F2E" w14:textId="77777777" w:rsidTr="005A7B0A">
        <w:tc>
          <w:tcPr>
            <w:tcW w:w="9522" w:type="dxa"/>
          </w:tcPr>
          <w:p w14:paraId="1B21864E" w14:textId="77777777" w:rsidR="0012211C" w:rsidRPr="00650BD4" w:rsidRDefault="0012211C" w:rsidP="0041788D">
            <w:pPr>
              <w:snapToGrid w:val="0"/>
              <w:spacing w:line="276" w:lineRule="auto"/>
              <w:ind w:firstLine="450"/>
              <w:rPr>
                <w:rFonts w:cs="Times New Roman"/>
                <w:szCs w:val="24"/>
              </w:rPr>
            </w:pPr>
            <w:r w:rsidRPr="00650BD4">
              <w:rPr>
                <w:rFonts w:cs="Times New Roman"/>
                <w:b/>
                <w:bCs/>
                <w:szCs w:val="24"/>
              </w:rPr>
              <w:lastRenderedPageBreak/>
              <w:t>7. Concluziile expertizelor</w:t>
            </w:r>
          </w:p>
        </w:tc>
      </w:tr>
      <w:tr w:rsidR="00650BD4" w:rsidRPr="00650BD4" w14:paraId="2C053E54" w14:textId="77777777" w:rsidTr="005A7B0A">
        <w:tc>
          <w:tcPr>
            <w:tcW w:w="9522" w:type="dxa"/>
          </w:tcPr>
          <w:p w14:paraId="6F11098C" w14:textId="77777777" w:rsidR="0012211C"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La elaborarea proiectului, ANRE a respectat principiile metodologiei de expertiză anticorupție și </w:t>
            </w:r>
            <w:r w:rsidR="003E4015" w:rsidRPr="00650BD4">
              <w:rPr>
                <w:rFonts w:eastAsia="Times New Roman" w:cs="Times New Roman"/>
                <w:szCs w:val="24"/>
              </w:rPr>
              <w:t>s-</w:t>
            </w:r>
            <w:r w:rsidRPr="00650BD4">
              <w:rPr>
                <w:rFonts w:eastAsia="Times New Roman" w:cs="Times New Roman"/>
                <w:szCs w:val="24"/>
              </w:rPr>
              <w:t>a evitat includerea unor norme</w:t>
            </w:r>
            <w:r w:rsidR="003E4015" w:rsidRPr="00650BD4">
              <w:rPr>
                <w:rFonts w:eastAsia="Times New Roman" w:cs="Times New Roman"/>
                <w:szCs w:val="24"/>
              </w:rPr>
              <w:t xml:space="preserve"> sau formulări</w:t>
            </w:r>
            <w:r w:rsidRPr="00650BD4">
              <w:rPr>
                <w:rFonts w:eastAsia="Times New Roman" w:cs="Times New Roman"/>
                <w:szCs w:val="24"/>
              </w:rPr>
              <w:t xml:space="preserve"> care ar putea genera riscuri de aplicare arbitrară sau discriminare între participanții la piață.</w:t>
            </w:r>
          </w:p>
          <w:p w14:paraId="7BA829E1" w14:textId="2A6AC343" w:rsidR="00695875" w:rsidRDefault="00D47B8D" w:rsidP="00695875">
            <w:pPr>
              <w:pStyle w:val="BodyText1"/>
              <w:autoSpaceDE/>
              <w:autoSpaceDN w:val="0"/>
              <w:spacing w:after="0" w:line="276" w:lineRule="auto"/>
              <w:ind w:right="27" w:firstLine="523"/>
              <w:rPr>
                <w:lang w:val="ro-RO"/>
              </w:rPr>
            </w:pPr>
            <w:r>
              <w:rPr>
                <w:lang w:val="ro-RO"/>
              </w:rPr>
              <w:t>La data de 24</w:t>
            </w:r>
            <w:r w:rsidR="00695875">
              <w:rPr>
                <w:lang w:val="ro-RO"/>
              </w:rPr>
              <w:t>.</w:t>
            </w:r>
            <w:r>
              <w:rPr>
                <w:lang w:val="ro-RO"/>
              </w:rPr>
              <w:t>02</w:t>
            </w:r>
            <w:r w:rsidR="00695875">
              <w:rPr>
                <w:lang w:val="ro-RO"/>
              </w:rPr>
              <w:t>.202</w:t>
            </w:r>
            <w:r>
              <w:rPr>
                <w:lang w:val="ro-RO"/>
              </w:rPr>
              <w:t>6</w:t>
            </w:r>
            <w:r w:rsidR="00695875">
              <w:rPr>
                <w:lang w:val="ro-RO"/>
              </w:rPr>
              <w:t xml:space="preserve"> p</w:t>
            </w:r>
            <w:r w:rsidR="00695875" w:rsidRPr="00AE3B68">
              <w:rPr>
                <w:lang w:val="ro-RO"/>
              </w:rPr>
              <w:t xml:space="preserve">roiectul </w:t>
            </w:r>
            <w:r w:rsidR="00695875" w:rsidRPr="00AE3B68">
              <w:rPr>
                <w:shd w:val="clear" w:color="auto" w:fill="FFFFFF"/>
                <w:lang w:val="ro-RO"/>
              </w:rPr>
              <w:t>Hotărârii și Nota de fundamentare a</w:t>
            </w:r>
            <w:r w:rsidR="00695875">
              <w:rPr>
                <w:shd w:val="clear" w:color="auto" w:fill="FFFFFF"/>
                <w:lang w:val="ro-RO"/>
              </w:rPr>
              <w:t>u</w:t>
            </w:r>
            <w:r w:rsidR="00695875" w:rsidRPr="00AE3B68">
              <w:rPr>
                <w:shd w:val="clear" w:color="auto" w:fill="FFFFFF"/>
                <w:lang w:val="ro-RO"/>
              </w:rPr>
              <w:t xml:space="preserve"> f</w:t>
            </w:r>
            <w:r w:rsidR="00695875">
              <w:rPr>
                <w:shd w:val="clear" w:color="auto" w:fill="FFFFFF"/>
                <w:lang w:val="ro-RO"/>
              </w:rPr>
              <w:t xml:space="preserve">ost </w:t>
            </w:r>
            <w:r w:rsidR="00695875" w:rsidRPr="00AE3B68">
              <w:rPr>
                <w:shd w:val="clear" w:color="auto" w:fill="FFFFFF"/>
                <w:lang w:val="ro-RO"/>
              </w:rPr>
              <w:t xml:space="preserve"> avizat</w:t>
            </w:r>
            <w:r w:rsidR="00695875">
              <w:rPr>
                <w:shd w:val="clear" w:color="auto" w:fill="FFFFFF"/>
                <w:lang w:val="ro-RO"/>
              </w:rPr>
              <w:t>e</w:t>
            </w:r>
            <w:r w:rsidR="00695875" w:rsidRPr="00AE3B68">
              <w:rPr>
                <w:shd w:val="clear" w:color="auto" w:fill="FFFFFF"/>
                <w:lang w:val="ro-RO"/>
              </w:rPr>
              <w:t xml:space="preserve"> </w:t>
            </w:r>
            <w:r w:rsidR="00695875">
              <w:rPr>
                <w:shd w:val="clear" w:color="auto" w:fill="FFFFFF"/>
                <w:lang w:val="ro-RO"/>
              </w:rPr>
              <w:t xml:space="preserve">pozitiv </w:t>
            </w:r>
            <w:r w:rsidR="00695875" w:rsidRPr="00AE3B68">
              <w:rPr>
                <w:shd w:val="clear" w:color="auto" w:fill="FFFFFF"/>
                <w:lang w:val="ro-RO"/>
              </w:rPr>
              <w:t xml:space="preserve">de </w:t>
            </w:r>
            <w:r w:rsidR="00695875" w:rsidRPr="00AE3B68">
              <w:rPr>
                <w:lang w:val="ro-RO"/>
              </w:rPr>
              <w:t>Grupul de lucru al Comisiei de stat pentru reglementarea activității de întreprinzător</w:t>
            </w:r>
            <w:r w:rsidR="00695875">
              <w:rPr>
                <w:lang w:val="ro-RO"/>
              </w:rPr>
              <w:t>.</w:t>
            </w:r>
            <w:r w:rsidR="00695875" w:rsidRPr="00AE3B68">
              <w:rPr>
                <w:lang w:val="ro-RO"/>
              </w:rPr>
              <w:t xml:space="preserve"> </w:t>
            </w:r>
          </w:p>
          <w:p w14:paraId="1D60F78B" w14:textId="5616F41F" w:rsidR="00695875" w:rsidRPr="00650BD4" w:rsidRDefault="00695875" w:rsidP="009C614F">
            <w:pPr>
              <w:snapToGrid w:val="0"/>
              <w:spacing w:line="276" w:lineRule="auto"/>
              <w:ind w:firstLine="450"/>
              <w:jc w:val="both"/>
              <w:rPr>
                <w:rFonts w:cs="Times New Roman"/>
                <w:szCs w:val="24"/>
              </w:rPr>
            </w:pPr>
            <w:r>
              <w:t xml:space="preserve">Proiectul Hotărării a fost  supus expertizei juridice de către Ministerul Justiției </w:t>
            </w:r>
            <w:r w:rsidR="008E0527">
              <w:t xml:space="preserve"> iar propunerile și recomandările </w:t>
            </w:r>
            <w:r w:rsidR="008E118C">
              <w:t xml:space="preserve">sunt reflectate </w:t>
            </w:r>
            <w:r w:rsidR="008E0527">
              <w:t>în sinteză.</w:t>
            </w:r>
          </w:p>
        </w:tc>
      </w:tr>
      <w:tr w:rsidR="00650BD4" w:rsidRPr="00650BD4" w14:paraId="68215228" w14:textId="77777777" w:rsidTr="005A7B0A">
        <w:tc>
          <w:tcPr>
            <w:tcW w:w="9522" w:type="dxa"/>
          </w:tcPr>
          <w:p w14:paraId="6034E425" w14:textId="77777777" w:rsidR="0012211C" w:rsidRPr="00650BD4" w:rsidRDefault="0012211C" w:rsidP="0041788D">
            <w:pPr>
              <w:snapToGrid w:val="0"/>
              <w:spacing w:line="276" w:lineRule="auto"/>
              <w:ind w:firstLine="450"/>
              <w:rPr>
                <w:rFonts w:cs="Times New Roman"/>
                <w:szCs w:val="24"/>
              </w:rPr>
            </w:pPr>
            <w:r w:rsidRPr="00650BD4">
              <w:rPr>
                <w:rFonts w:cs="Times New Roman"/>
                <w:b/>
                <w:bCs/>
                <w:szCs w:val="24"/>
              </w:rPr>
              <w:t>8. Modul de încorporare a actului în cadrul normativ existent</w:t>
            </w:r>
          </w:p>
        </w:tc>
      </w:tr>
      <w:tr w:rsidR="00650BD4" w:rsidRPr="00650BD4" w14:paraId="473E021B" w14:textId="77777777" w:rsidTr="005A7B0A">
        <w:tc>
          <w:tcPr>
            <w:tcW w:w="9522" w:type="dxa"/>
          </w:tcPr>
          <w:p w14:paraId="4E24CE07" w14:textId="49A0299F" w:rsidR="00C52BC1" w:rsidRDefault="00994B83" w:rsidP="00C52BC1">
            <w:pPr>
              <w:snapToGrid w:val="0"/>
              <w:spacing w:line="276" w:lineRule="auto"/>
              <w:ind w:firstLine="450"/>
              <w:jc w:val="both"/>
              <w:rPr>
                <w:rFonts w:cs="Times New Roman"/>
                <w:szCs w:val="24"/>
              </w:rPr>
            </w:pPr>
            <w:r w:rsidRPr="00650BD4">
              <w:rPr>
                <w:rFonts w:eastAsia="Times New Roman" w:cs="Times New Roman"/>
                <w:szCs w:val="24"/>
              </w:rPr>
              <w:t>Proiectul se încorporează în cadrul normativ secundar aferent furnizării gazelor naturale, în executarea directă a prevederilor Legii nr. 108/2016</w:t>
            </w:r>
            <w:r w:rsidR="00680126">
              <w:rPr>
                <w:rFonts w:eastAsia="Times New Roman" w:cs="Times New Roman"/>
                <w:szCs w:val="24"/>
              </w:rPr>
              <w:t>.</w:t>
            </w:r>
            <w:r w:rsidR="00C52BC1" w:rsidRPr="00C52BC1">
              <w:rPr>
                <w:rFonts w:cs="Times New Roman"/>
                <w:szCs w:val="24"/>
              </w:rPr>
              <w:t xml:space="preserve"> </w:t>
            </w:r>
          </w:p>
          <w:p w14:paraId="6159A5E4" w14:textId="48D37A3C" w:rsidR="006769C7" w:rsidRPr="00650BD4" w:rsidRDefault="006769C7" w:rsidP="008E118C">
            <w:pPr>
              <w:snapToGrid w:val="0"/>
              <w:spacing w:line="276" w:lineRule="auto"/>
              <w:ind w:firstLine="450"/>
              <w:jc w:val="both"/>
              <w:rPr>
                <w:rFonts w:cs="Times New Roman"/>
                <w:szCs w:val="24"/>
              </w:rPr>
            </w:pPr>
            <w:r w:rsidRPr="00C52BC1">
              <w:rPr>
                <w:rFonts w:cs="Times New Roman"/>
                <w:szCs w:val="24"/>
              </w:rPr>
              <w:t>Se propune ca Hotărârea să intre în vigoare la data publicării în Monitorul Oficial al Republicii Moldova</w:t>
            </w:r>
            <w:r w:rsidR="008E0527">
              <w:rPr>
                <w:rFonts w:cs="Times New Roman"/>
                <w:szCs w:val="24"/>
              </w:rPr>
              <w:t>,</w:t>
            </w:r>
            <w:r w:rsidRPr="00C52BC1">
              <w:rPr>
                <w:rFonts w:cs="Times New Roman"/>
                <w:szCs w:val="24"/>
              </w:rPr>
              <w:t xml:space="preserve"> având în vedere </w:t>
            </w:r>
            <w:r w:rsidR="00C52BC1" w:rsidRPr="00C52BC1">
              <w:rPr>
                <w:rFonts w:cs="Times New Roman"/>
                <w:szCs w:val="24"/>
              </w:rPr>
              <w:t xml:space="preserve">că </w:t>
            </w:r>
            <w:r w:rsidR="00C52BC1" w:rsidRPr="008E0527">
              <w:rPr>
                <w:rFonts w:cs="Times New Roman"/>
                <w:szCs w:val="24"/>
              </w:rPr>
              <w:t xml:space="preserve">începând cu </w:t>
            </w:r>
            <w:r w:rsidR="00C52BC1" w:rsidRPr="00680126">
              <w:rPr>
                <w:rFonts w:cs="Times New Roman"/>
                <w:szCs w:val="24"/>
              </w:rPr>
              <w:t>1 aprilie 2026</w:t>
            </w:r>
            <w:r w:rsidR="00C52BC1" w:rsidRPr="00C52BC1">
              <w:rPr>
                <w:rFonts w:cs="Times New Roman"/>
                <w:szCs w:val="24"/>
              </w:rPr>
              <w:t>, toți consumatorii noncasnici mari</w:t>
            </w:r>
            <w:r w:rsidR="00C52BC1" w:rsidRPr="004258EE">
              <w:rPr>
                <w:rFonts w:cs="Times New Roman"/>
                <w:szCs w:val="24"/>
              </w:rPr>
              <w:t xml:space="preserve"> </w:t>
            </w:r>
            <w:r w:rsidR="008E0527" w:rsidRPr="00650BD4">
              <w:rPr>
                <w:rFonts w:cs="Times New Roman"/>
                <w:szCs w:val="24"/>
              </w:rPr>
              <w:t>vor beneficia de furnizarea gazelor naturale exclusiv în baza contractelor încheiate pe piața concurențială</w:t>
            </w:r>
            <w:r w:rsidR="008E0527" w:rsidRPr="00650BD4">
              <w:rPr>
                <w:rFonts w:cs="Times New Roman"/>
                <w:i/>
                <w:iCs/>
                <w:szCs w:val="24"/>
              </w:rPr>
              <w:t>.</w:t>
            </w:r>
          </w:p>
        </w:tc>
      </w:tr>
      <w:tr w:rsidR="00650BD4" w:rsidRPr="00650BD4" w14:paraId="271758FD" w14:textId="77777777" w:rsidTr="005A7B0A">
        <w:tc>
          <w:tcPr>
            <w:tcW w:w="9522" w:type="dxa"/>
          </w:tcPr>
          <w:p w14:paraId="30E39D53" w14:textId="77777777" w:rsidR="0012211C" w:rsidRPr="00650BD4" w:rsidRDefault="0012211C" w:rsidP="0041788D">
            <w:pPr>
              <w:snapToGrid w:val="0"/>
              <w:spacing w:line="276" w:lineRule="auto"/>
              <w:ind w:firstLine="450"/>
              <w:rPr>
                <w:rFonts w:cs="Times New Roman"/>
                <w:szCs w:val="24"/>
              </w:rPr>
            </w:pPr>
            <w:r w:rsidRPr="00650BD4">
              <w:rPr>
                <w:rFonts w:cs="Times New Roman"/>
                <w:b/>
                <w:bCs/>
                <w:szCs w:val="24"/>
              </w:rPr>
              <w:t>9. Măsurile necesare pentru implementarea prevederilor proiectului actului normativ</w:t>
            </w:r>
          </w:p>
        </w:tc>
      </w:tr>
      <w:tr w:rsidR="00650BD4" w:rsidRPr="00650BD4" w14:paraId="6B1215FE" w14:textId="77777777" w:rsidTr="005A7B0A">
        <w:tc>
          <w:tcPr>
            <w:tcW w:w="9522" w:type="dxa"/>
          </w:tcPr>
          <w:p w14:paraId="45BDA199" w14:textId="77777777" w:rsidR="00994B83" w:rsidRPr="00650BD4" w:rsidRDefault="00994B83" w:rsidP="0041788D">
            <w:pPr>
              <w:snapToGrid w:val="0"/>
              <w:spacing w:line="276" w:lineRule="auto"/>
              <w:ind w:firstLine="450"/>
              <w:outlineLvl w:val="1"/>
              <w:rPr>
                <w:rFonts w:eastAsia="Times New Roman" w:cs="Times New Roman"/>
                <w:b/>
                <w:bCs/>
                <w:szCs w:val="24"/>
              </w:rPr>
            </w:pPr>
            <w:r w:rsidRPr="00650BD4">
              <w:rPr>
                <w:rFonts w:eastAsia="Times New Roman" w:cs="Times New Roman"/>
                <w:b/>
                <w:bCs/>
                <w:szCs w:val="24"/>
              </w:rPr>
              <w:t>Măsuri necesare pentru implementarea prevederilor</w:t>
            </w:r>
          </w:p>
          <w:p w14:paraId="16ED538F" w14:textId="740B5C85" w:rsidR="00994B83" w:rsidRPr="00650BD4"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Un prim pas esențial pentru implementarea noilor prevederi constă în elaborarea de către ANRE a unui caiet de sarcini tehnic privind elementele constitutive ale instrumentului de comparare a ofertelor</w:t>
            </w:r>
            <w:r w:rsidRPr="00650BD4">
              <w:rPr>
                <w:rFonts w:eastAsia="Times New Roman" w:cs="Times New Roman"/>
                <w:b/>
                <w:szCs w:val="24"/>
              </w:rPr>
              <w:t xml:space="preserve"> </w:t>
            </w:r>
            <w:r w:rsidRPr="00650BD4">
              <w:rPr>
                <w:rFonts w:eastAsia="Times New Roman" w:cs="Times New Roman"/>
                <w:szCs w:val="24"/>
              </w:rPr>
              <w:t xml:space="preserve">din sectorul gazelor naturale. Acest document va defini cerințele logistice și funcționale ale platformei, inclusiv structura bazei de date, standardele de securitate informatică, frecvența actualizării ofertelor și modul de integrare cu sistemele IT ale furnizorilor. </w:t>
            </w:r>
          </w:p>
          <w:p w14:paraId="29AB5AC9" w14:textId="56DDB823" w:rsidR="00994B83" w:rsidRPr="00650BD4"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De asemenea, va fi necesară specificarea/stabilirea </w:t>
            </w:r>
            <w:r w:rsidRPr="00650BD4">
              <w:rPr>
                <w:rFonts w:eastAsia="Times New Roman" w:cs="Times New Roman"/>
                <w:i/>
                <w:szCs w:val="24"/>
              </w:rPr>
              <w:t>unui format universal de prezentare a ofertelor</w:t>
            </w:r>
            <w:r w:rsidRPr="00650BD4">
              <w:rPr>
                <w:rFonts w:eastAsia="Times New Roman" w:cs="Times New Roman"/>
                <w:b/>
                <w:szCs w:val="24"/>
              </w:rPr>
              <w:t xml:space="preserve"> </w:t>
            </w:r>
            <w:r w:rsidRPr="00650BD4">
              <w:rPr>
                <w:rFonts w:eastAsia="Times New Roman" w:cs="Times New Roman"/>
                <w:szCs w:val="24"/>
              </w:rPr>
              <w:t>de către furnizori, astfel încât fiecare furnizor să introducă datele într-un șablon comun, permițând compararea automată și obiectivă de către consumatori. Nu este exclus faptul că acest format sau formă de prezentare ale ofertelor va fi predecesor/modalitatea intermediară de prezentare ale ofertelor pe pagina web ANRE în perioada de elaborare al instrumentului de comparare</w:t>
            </w:r>
            <w:r w:rsidR="006C61DE" w:rsidRPr="00650BD4">
              <w:rPr>
                <w:rFonts w:eastAsia="Times New Roman" w:cs="Times New Roman"/>
                <w:szCs w:val="24"/>
              </w:rPr>
              <w:t xml:space="preserve"> a ofertelor</w:t>
            </w:r>
            <w:r w:rsidRPr="00650BD4">
              <w:rPr>
                <w:rFonts w:eastAsia="Times New Roman" w:cs="Times New Roman"/>
                <w:szCs w:val="24"/>
              </w:rPr>
              <w:t>.</w:t>
            </w:r>
          </w:p>
          <w:p w14:paraId="2DC68F96" w14:textId="12EDFA4C" w:rsidR="00994B83" w:rsidRPr="00650BD4"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În vederea eficientizării resurselor financiare și administrative, acest model de funcționare și design nu va fi dezvoltat exclusiv pentru piața gazelor naturale, ci va fi conceput ca o platformă comună, adaptată și pentru sectorul energiei electrice. O astfel de soluție integrată asigură coerență inter-sectorială și optimizează</w:t>
            </w:r>
            <w:r w:rsidR="000D25D0" w:rsidRPr="00650BD4">
              <w:rPr>
                <w:rFonts w:eastAsia="Times New Roman" w:cs="Times New Roman"/>
                <w:szCs w:val="24"/>
              </w:rPr>
              <w:t xml:space="preserve"> semnificativ</w:t>
            </w:r>
            <w:r w:rsidRPr="00650BD4">
              <w:rPr>
                <w:rFonts w:eastAsia="Times New Roman" w:cs="Times New Roman"/>
                <w:szCs w:val="24"/>
              </w:rPr>
              <w:t xml:space="preserve"> costurile de dezvoltare și întreținere, evitând duplicarea instrumentelor. Totodată, consumatorii finali vor beneficia de o interfață unică, </w:t>
            </w:r>
            <w:r w:rsidR="003E4015" w:rsidRPr="00650BD4">
              <w:rPr>
                <w:rFonts w:eastAsia="Times New Roman" w:cs="Times New Roman"/>
                <w:szCs w:val="24"/>
              </w:rPr>
              <w:t>simplă</w:t>
            </w:r>
            <w:r w:rsidRPr="00650BD4">
              <w:rPr>
                <w:rFonts w:eastAsia="Times New Roman" w:cs="Times New Roman"/>
                <w:szCs w:val="24"/>
              </w:rPr>
              <w:t xml:space="preserve"> și intuitivă, prin care își vor putea compara ofertele </w:t>
            </w:r>
            <w:r w:rsidR="003E4015" w:rsidRPr="00650BD4">
              <w:rPr>
                <w:rFonts w:eastAsia="Times New Roman" w:cs="Times New Roman"/>
                <w:szCs w:val="24"/>
              </w:rPr>
              <w:t xml:space="preserve">existente </w:t>
            </w:r>
            <w:r w:rsidRPr="00650BD4">
              <w:rPr>
                <w:rFonts w:eastAsia="Times New Roman" w:cs="Times New Roman"/>
                <w:szCs w:val="24"/>
              </w:rPr>
              <w:t xml:space="preserve">de gaze </w:t>
            </w:r>
            <w:r w:rsidR="003E4015" w:rsidRPr="00650BD4">
              <w:rPr>
                <w:rFonts w:eastAsia="Times New Roman" w:cs="Times New Roman"/>
                <w:szCs w:val="24"/>
              </w:rPr>
              <w:t xml:space="preserve">naturale </w:t>
            </w:r>
            <w:r w:rsidRPr="00650BD4">
              <w:rPr>
                <w:rFonts w:eastAsia="Times New Roman" w:cs="Times New Roman"/>
                <w:szCs w:val="24"/>
              </w:rPr>
              <w:t>și energie electrică în același loc, pe baza acelorași criterii și aceluiași standard de prezentare.</w:t>
            </w:r>
          </w:p>
          <w:p w14:paraId="357F3AAB" w14:textId="7AFAE02F" w:rsidR="00994B83" w:rsidRPr="00650BD4"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lastRenderedPageBreak/>
              <w:t xml:space="preserve">În al doilea rând, furnizorii de gaze naturale vor </w:t>
            </w:r>
            <w:r w:rsidR="008C452C" w:rsidRPr="00650BD4">
              <w:rPr>
                <w:rFonts w:eastAsia="Times New Roman" w:cs="Times New Roman"/>
                <w:szCs w:val="24"/>
              </w:rPr>
              <w:t>avea nevoie</w:t>
            </w:r>
            <w:r w:rsidRPr="00650BD4">
              <w:rPr>
                <w:rFonts w:eastAsia="Times New Roman" w:cs="Times New Roman"/>
                <w:szCs w:val="24"/>
              </w:rPr>
              <w:t xml:space="preserve"> să își adapteze sistemele interne de publicare și transmitere a ofertelor. Această adaptare presupune alinierea proceselor informatice și administrative la cerințele de raportare stabilite de ANRE și implementarea unor soluții de actualizare rapidă a ofertelor. Deși presupune un efort administrativ inițial, beneficiile sunt considerabile, deoarece este cert că furnizorii vor câștiga vizibilitate pe piață, iar consumatorii vor obține acces direct la informații din prima sursă și transparente. Acest proces contribuie la echilibrarea șanselor de concurență și la reducerea asimetriilor dintre furnizorii mari și cei mici.</w:t>
            </w:r>
          </w:p>
          <w:p w14:paraId="6CFA8F68" w14:textId="1CF30828" w:rsidR="00994B83" w:rsidRPr="00650BD4" w:rsidRDefault="00994B83" w:rsidP="0041788D">
            <w:pPr>
              <w:snapToGrid w:val="0"/>
              <w:spacing w:line="276" w:lineRule="auto"/>
              <w:ind w:firstLine="450"/>
              <w:jc w:val="both"/>
              <w:rPr>
                <w:rFonts w:eastAsia="Times New Roman" w:cs="Times New Roman"/>
                <w:szCs w:val="24"/>
              </w:rPr>
            </w:pPr>
            <w:r w:rsidRPr="00650BD4">
              <w:rPr>
                <w:rFonts w:eastAsia="Times New Roman" w:cs="Times New Roman"/>
                <w:szCs w:val="24"/>
              </w:rPr>
              <w:t xml:space="preserve">În </w:t>
            </w:r>
            <w:r w:rsidR="003E4015" w:rsidRPr="00650BD4">
              <w:rPr>
                <w:rFonts w:eastAsia="Times New Roman" w:cs="Times New Roman"/>
                <w:szCs w:val="24"/>
              </w:rPr>
              <w:t>final</w:t>
            </w:r>
            <w:r w:rsidRPr="00650BD4">
              <w:rPr>
                <w:rFonts w:eastAsia="Times New Roman" w:cs="Times New Roman"/>
                <w:szCs w:val="24"/>
              </w:rPr>
              <w:t xml:space="preserve">, campaniile de informare destinate consumatorilor reprezintă o condiție fundamentală pentru succesul întregii reforme. Chiar și cel mai bine conceput comparator </w:t>
            </w:r>
            <w:r w:rsidR="006C61DE" w:rsidRPr="00650BD4">
              <w:rPr>
                <w:rFonts w:eastAsia="Times New Roman" w:cs="Times New Roman"/>
                <w:szCs w:val="24"/>
              </w:rPr>
              <w:t xml:space="preserve">de prețuri </w:t>
            </w:r>
            <w:r w:rsidRPr="00650BD4">
              <w:rPr>
                <w:rFonts w:eastAsia="Times New Roman" w:cs="Times New Roman"/>
                <w:szCs w:val="24"/>
              </w:rPr>
              <w:t xml:space="preserve">are riscul să rămână sub-utilizat dacă publicul-țintă nu este conștient de existența lui sau nu înțelege modul în care poate fi utilizat. </w:t>
            </w:r>
          </w:p>
          <w:p w14:paraId="635C6817" w14:textId="418AE339" w:rsidR="0012211C" w:rsidRPr="00650BD4" w:rsidRDefault="00994B83" w:rsidP="0041788D">
            <w:pPr>
              <w:snapToGrid w:val="0"/>
              <w:spacing w:line="276" w:lineRule="auto"/>
              <w:ind w:firstLine="450"/>
              <w:jc w:val="both"/>
              <w:rPr>
                <w:rFonts w:cs="Times New Roman"/>
                <w:szCs w:val="24"/>
              </w:rPr>
            </w:pPr>
            <w:r w:rsidRPr="00650BD4">
              <w:rPr>
                <w:rFonts w:eastAsia="Times New Roman" w:cs="Times New Roman"/>
                <w:szCs w:val="24"/>
              </w:rPr>
              <w:t>Prin urmare, ANRE, împreună cu furnizorii și organizațiile de protecție a consumatorilor, va desfăș</w:t>
            </w:r>
            <w:r w:rsidR="00CC3A72" w:rsidRPr="00650BD4">
              <w:rPr>
                <w:rFonts w:eastAsia="Times New Roman" w:cs="Times New Roman"/>
                <w:szCs w:val="24"/>
              </w:rPr>
              <w:t>ura</w:t>
            </w:r>
            <w:r w:rsidRPr="00650BD4">
              <w:rPr>
                <w:rFonts w:eastAsia="Times New Roman" w:cs="Times New Roman"/>
                <w:szCs w:val="24"/>
              </w:rPr>
              <w:t xml:space="preserve"> </w:t>
            </w:r>
            <w:r w:rsidR="003C2EC7">
              <w:rPr>
                <w:rFonts w:eastAsia="Times New Roman" w:cs="Times New Roman"/>
                <w:szCs w:val="24"/>
              </w:rPr>
              <w:t xml:space="preserve">acțiuni de comunicare proactivă </w:t>
            </w:r>
            <w:r w:rsidR="00351E59" w:rsidRPr="00650BD4">
              <w:rPr>
                <w:rFonts w:eastAsia="Times New Roman" w:cs="Times New Roman"/>
                <w:szCs w:val="24"/>
              </w:rPr>
              <w:t>-</w:t>
            </w:r>
            <w:r w:rsidR="003C2EC7">
              <w:rPr>
                <w:rFonts w:eastAsia="Times New Roman" w:cs="Times New Roman"/>
                <w:szCs w:val="24"/>
              </w:rPr>
              <w:t xml:space="preserve"> </w:t>
            </w:r>
            <w:r w:rsidRPr="00650BD4">
              <w:rPr>
                <w:rFonts w:eastAsia="Times New Roman" w:cs="Times New Roman"/>
                <w:szCs w:val="24"/>
              </w:rPr>
              <w:t>spoturi media, ghiduri online, ateliere de informare – pentru a familiariza publicul cu oferta standardizată și cu platforma de comparare. În mod special, consumatorii casnici și IMM-urile, care sunt cei mai vulnerabili și mai puțin informați, trebuie sprijiniți să înțeleagă avantajele acestor instrumente și să dobândească încredere în procesul de schimbare a furnizorului.</w:t>
            </w:r>
          </w:p>
        </w:tc>
      </w:tr>
    </w:tbl>
    <w:p w14:paraId="2FE290BC" w14:textId="77777777" w:rsidR="00F12C76" w:rsidRPr="00650BD4" w:rsidRDefault="00F12C76" w:rsidP="0041788D">
      <w:pPr>
        <w:snapToGrid w:val="0"/>
        <w:spacing w:after="0" w:line="276" w:lineRule="auto"/>
        <w:ind w:firstLine="450"/>
        <w:rPr>
          <w:rFonts w:eastAsia="Times New Roman" w:cs="Times New Roman"/>
          <w:szCs w:val="24"/>
        </w:rPr>
      </w:pPr>
    </w:p>
    <w:sectPr w:rsidR="00F12C76" w:rsidRPr="00650BD4" w:rsidSect="008A5C5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7F69" w14:textId="77777777" w:rsidR="00161CAA" w:rsidRDefault="00161CAA" w:rsidP="0002467D">
      <w:pPr>
        <w:spacing w:after="0"/>
      </w:pPr>
      <w:r>
        <w:separator/>
      </w:r>
    </w:p>
  </w:endnote>
  <w:endnote w:type="continuationSeparator" w:id="0">
    <w:p w14:paraId="23E7512C" w14:textId="77777777" w:rsidR="00161CAA" w:rsidRDefault="00161CAA" w:rsidP="000246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CE96" w14:textId="77777777" w:rsidR="00161CAA" w:rsidRDefault="00161CAA" w:rsidP="0002467D">
      <w:pPr>
        <w:spacing w:after="0"/>
      </w:pPr>
      <w:r>
        <w:separator/>
      </w:r>
    </w:p>
  </w:footnote>
  <w:footnote w:type="continuationSeparator" w:id="0">
    <w:p w14:paraId="660DF6F1" w14:textId="77777777" w:rsidR="00161CAA" w:rsidRDefault="00161CAA" w:rsidP="0002467D">
      <w:pPr>
        <w:spacing w:after="0"/>
      </w:pPr>
      <w:r>
        <w:continuationSeparator/>
      </w:r>
    </w:p>
  </w:footnote>
  <w:footnote w:id="1">
    <w:p w14:paraId="2E08007C" w14:textId="77777777" w:rsidR="00781056" w:rsidRDefault="00781056" w:rsidP="00781056">
      <w:pPr>
        <w:pStyle w:val="FootnoteText"/>
      </w:pPr>
      <w:r>
        <w:rPr>
          <w:rStyle w:val="FootnoteReference"/>
        </w:rPr>
        <w:footnoteRef/>
      </w:r>
      <w:r w:rsidRPr="00A46417">
        <w:t>https://anre.md/storage/upload/administration/reports/1501/Analiza%20pieței%20gazelor%20naturale%202024%20-%20I%20sem.%202025.pdf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2E8"/>
    <w:multiLevelType w:val="hybridMultilevel"/>
    <w:tmpl w:val="D06A07C2"/>
    <w:lvl w:ilvl="0" w:tplc="E8521E24">
      <w:start w:val="1"/>
      <w:numFmt w:val="upperRoman"/>
      <w:lvlText w:val="%1."/>
      <w:lvlJc w:val="left"/>
      <w:pPr>
        <w:ind w:left="1170" w:hanging="7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3E8603A"/>
    <w:multiLevelType w:val="multilevel"/>
    <w:tmpl w:val="DCD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A039A"/>
    <w:multiLevelType w:val="multilevel"/>
    <w:tmpl w:val="2C2A039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0434543"/>
    <w:multiLevelType w:val="hybridMultilevel"/>
    <w:tmpl w:val="04EE985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75D1B"/>
    <w:multiLevelType w:val="multilevel"/>
    <w:tmpl w:val="287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72A3B"/>
    <w:multiLevelType w:val="hybridMultilevel"/>
    <w:tmpl w:val="0624CED6"/>
    <w:lvl w:ilvl="0" w:tplc="3D322E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466D5"/>
    <w:multiLevelType w:val="hybridMultilevel"/>
    <w:tmpl w:val="0C569BA6"/>
    <w:lvl w:ilvl="0" w:tplc="40F2F0D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77000"/>
    <w:multiLevelType w:val="hybridMultilevel"/>
    <w:tmpl w:val="4998DC5E"/>
    <w:lvl w:ilvl="0" w:tplc="4B1E2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158A8"/>
    <w:multiLevelType w:val="multilevel"/>
    <w:tmpl w:val="D602B70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E6ADD"/>
    <w:multiLevelType w:val="hybridMultilevel"/>
    <w:tmpl w:val="4998D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BF65FC"/>
    <w:multiLevelType w:val="multilevel"/>
    <w:tmpl w:val="50BF65F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12A7C9C"/>
    <w:multiLevelType w:val="hybridMultilevel"/>
    <w:tmpl w:val="57E6AEFC"/>
    <w:lvl w:ilvl="0" w:tplc="37C61A18">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E117C"/>
    <w:multiLevelType w:val="hybridMultilevel"/>
    <w:tmpl w:val="C4B61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E6183"/>
    <w:multiLevelType w:val="hybridMultilevel"/>
    <w:tmpl w:val="628E4214"/>
    <w:lvl w:ilvl="0" w:tplc="6FF45B78">
      <w:start w:val="125"/>
      <w:numFmt w:val="decimal"/>
      <w:lvlText w:val="%1."/>
      <w:lvlJc w:val="left"/>
      <w:pPr>
        <w:ind w:left="1410" w:hanging="4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0A4332C"/>
    <w:multiLevelType w:val="multilevel"/>
    <w:tmpl w:val="BC4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62CBB"/>
    <w:multiLevelType w:val="hybridMultilevel"/>
    <w:tmpl w:val="8C3E8BB4"/>
    <w:lvl w:ilvl="0" w:tplc="0F4C4CF2">
      <w:start w:val="1"/>
      <w:numFmt w:val="decimal"/>
      <w:lvlText w:val="%1)"/>
      <w:lvlJc w:val="left"/>
      <w:pPr>
        <w:ind w:left="968" w:hanging="360"/>
      </w:pPr>
      <w:rPr>
        <w:rFonts w:hint="default"/>
        <w:lang w:val="en-US"/>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6" w15:restartNumberingAfterBreak="0">
    <w:nsid w:val="6C9428B2"/>
    <w:multiLevelType w:val="multilevel"/>
    <w:tmpl w:val="D17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62F62"/>
    <w:multiLevelType w:val="hybridMultilevel"/>
    <w:tmpl w:val="DED64E0C"/>
    <w:lvl w:ilvl="0" w:tplc="04090011">
      <w:start w:val="1"/>
      <w:numFmt w:val="decimal"/>
      <w:lvlText w:val="%1)"/>
      <w:lvlJc w:val="left"/>
      <w:pPr>
        <w:ind w:left="1153" w:hanging="360"/>
      </w:p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8" w15:restartNumberingAfterBreak="0">
    <w:nsid w:val="746941DD"/>
    <w:multiLevelType w:val="hybridMultilevel"/>
    <w:tmpl w:val="8C32E85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14332B"/>
    <w:multiLevelType w:val="multilevel"/>
    <w:tmpl w:val="667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9"/>
  </w:num>
  <w:num w:numId="4">
    <w:abstractNumId w:val="14"/>
  </w:num>
  <w:num w:numId="5">
    <w:abstractNumId w:val="7"/>
  </w:num>
  <w:num w:numId="6">
    <w:abstractNumId w:val="13"/>
  </w:num>
  <w:num w:numId="7">
    <w:abstractNumId w:val="9"/>
  </w:num>
  <w:num w:numId="8">
    <w:abstractNumId w:val="5"/>
  </w:num>
  <w:num w:numId="9">
    <w:abstractNumId w:val="16"/>
  </w:num>
  <w:num w:numId="10">
    <w:abstractNumId w:val="11"/>
  </w:num>
  <w:num w:numId="11">
    <w:abstractNumId w:val="6"/>
  </w:num>
  <w:num w:numId="12">
    <w:abstractNumId w:val="2"/>
  </w:num>
  <w:num w:numId="13">
    <w:abstractNumId w:val="10"/>
  </w:num>
  <w:num w:numId="14">
    <w:abstractNumId w:val="18"/>
  </w:num>
  <w:num w:numId="15">
    <w:abstractNumId w:val="15"/>
  </w:num>
  <w:num w:numId="16">
    <w:abstractNumId w:val="3"/>
  </w:num>
  <w:num w:numId="17">
    <w:abstractNumId w:val="1"/>
  </w:num>
  <w:num w:numId="18">
    <w:abstractNumId w:val="1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1A"/>
    <w:rsid w:val="00001A3C"/>
    <w:rsid w:val="00005FDA"/>
    <w:rsid w:val="0001191A"/>
    <w:rsid w:val="00020244"/>
    <w:rsid w:val="00024144"/>
    <w:rsid w:val="0002467D"/>
    <w:rsid w:val="00027D39"/>
    <w:rsid w:val="0003094E"/>
    <w:rsid w:val="0003627A"/>
    <w:rsid w:val="00042B0E"/>
    <w:rsid w:val="00077B81"/>
    <w:rsid w:val="000B79B9"/>
    <w:rsid w:val="000C1254"/>
    <w:rsid w:val="000C1F4F"/>
    <w:rsid w:val="000D0ACC"/>
    <w:rsid w:val="000D25D0"/>
    <w:rsid w:val="000F03A8"/>
    <w:rsid w:val="000F1685"/>
    <w:rsid w:val="000F2294"/>
    <w:rsid w:val="000F38B1"/>
    <w:rsid w:val="00112661"/>
    <w:rsid w:val="00113A6D"/>
    <w:rsid w:val="00113F0E"/>
    <w:rsid w:val="0012211C"/>
    <w:rsid w:val="0012750B"/>
    <w:rsid w:val="00161CAA"/>
    <w:rsid w:val="0017076C"/>
    <w:rsid w:val="00175193"/>
    <w:rsid w:val="00176E27"/>
    <w:rsid w:val="00186514"/>
    <w:rsid w:val="00193D3A"/>
    <w:rsid w:val="001B054F"/>
    <w:rsid w:val="001B21D9"/>
    <w:rsid w:val="001B2C92"/>
    <w:rsid w:val="001B6135"/>
    <w:rsid w:val="001C0DFE"/>
    <w:rsid w:val="001C602D"/>
    <w:rsid w:val="001C603D"/>
    <w:rsid w:val="001D2053"/>
    <w:rsid w:val="00200007"/>
    <w:rsid w:val="00220267"/>
    <w:rsid w:val="00235A9C"/>
    <w:rsid w:val="00253388"/>
    <w:rsid w:val="00265481"/>
    <w:rsid w:val="00271A93"/>
    <w:rsid w:val="0027400E"/>
    <w:rsid w:val="00275D9B"/>
    <w:rsid w:val="00292278"/>
    <w:rsid w:val="002A431D"/>
    <w:rsid w:val="002C6B94"/>
    <w:rsid w:val="002E20A8"/>
    <w:rsid w:val="002F4D7F"/>
    <w:rsid w:val="00301E3C"/>
    <w:rsid w:val="00341B50"/>
    <w:rsid w:val="00351E59"/>
    <w:rsid w:val="00356B9C"/>
    <w:rsid w:val="003617EF"/>
    <w:rsid w:val="0036353A"/>
    <w:rsid w:val="00374B20"/>
    <w:rsid w:val="00383D32"/>
    <w:rsid w:val="00386924"/>
    <w:rsid w:val="003869DD"/>
    <w:rsid w:val="00386A80"/>
    <w:rsid w:val="003955C3"/>
    <w:rsid w:val="003A054A"/>
    <w:rsid w:val="003A1915"/>
    <w:rsid w:val="003A431C"/>
    <w:rsid w:val="003B203C"/>
    <w:rsid w:val="003B4226"/>
    <w:rsid w:val="003B4DB5"/>
    <w:rsid w:val="003B6F4E"/>
    <w:rsid w:val="003C28D0"/>
    <w:rsid w:val="003C2EC7"/>
    <w:rsid w:val="003D2158"/>
    <w:rsid w:val="003D2CA9"/>
    <w:rsid w:val="003E4015"/>
    <w:rsid w:val="003F5117"/>
    <w:rsid w:val="003F6136"/>
    <w:rsid w:val="00401A19"/>
    <w:rsid w:val="0041788D"/>
    <w:rsid w:val="00421302"/>
    <w:rsid w:val="00423FB1"/>
    <w:rsid w:val="00425D6C"/>
    <w:rsid w:val="0043685C"/>
    <w:rsid w:val="00441EEE"/>
    <w:rsid w:val="00450042"/>
    <w:rsid w:val="00461ED0"/>
    <w:rsid w:val="004913F6"/>
    <w:rsid w:val="004C2E97"/>
    <w:rsid w:val="004E2229"/>
    <w:rsid w:val="004E2DE9"/>
    <w:rsid w:val="00501094"/>
    <w:rsid w:val="00502965"/>
    <w:rsid w:val="00506EC2"/>
    <w:rsid w:val="0051571C"/>
    <w:rsid w:val="005445E5"/>
    <w:rsid w:val="00547A80"/>
    <w:rsid w:val="0056210F"/>
    <w:rsid w:val="00566D2A"/>
    <w:rsid w:val="005706E0"/>
    <w:rsid w:val="005724F7"/>
    <w:rsid w:val="00593165"/>
    <w:rsid w:val="00596F78"/>
    <w:rsid w:val="005A7B0A"/>
    <w:rsid w:val="005B4CFC"/>
    <w:rsid w:val="005C3A0B"/>
    <w:rsid w:val="005D3D6A"/>
    <w:rsid w:val="005E20CF"/>
    <w:rsid w:val="005E2E64"/>
    <w:rsid w:val="00605197"/>
    <w:rsid w:val="0062646E"/>
    <w:rsid w:val="006372A9"/>
    <w:rsid w:val="00637FF1"/>
    <w:rsid w:val="00650BD4"/>
    <w:rsid w:val="00653B40"/>
    <w:rsid w:val="00653EF1"/>
    <w:rsid w:val="00674F5B"/>
    <w:rsid w:val="006769C7"/>
    <w:rsid w:val="00680126"/>
    <w:rsid w:val="00695875"/>
    <w:rsid w:val="006A66B3"/>
    <w:rsid w:val="006C0B77"/>
    <w:rsid w:val="006C61DE"/>
    <w:rsid w:val="006D23D4"/>
    <w:rsid w:val="006D79E2"/>
    <w:rsid w:val="006F0334"/>
    <w:rsid w:val="006F32BB"/>
    <w:rsid w:val="006F4B7C"/>
    <w:rsid w:val="0070005E"/>
    <w:rsid w:val="00707801"/>
    <w:rsid w:val="00723728"/>
    <w:rsid w:val="007269BA"/>
    <w:rsid w:val="007463AA"/>
    <w:rsid w:val="00747C40"/>
    <w:rsid w:val="0075215D"/>
    <w:rsid w:val="007543CB"/>
    <w:rsid w:val="00781056"/>
    <w:rsid w:val="00783184"/>
    <w:rsid w:val="00790F56"/>
    <w:rsid w:val="0079153F"/>
    <w:rsid w:val="0079439F"/>
    <w:rsid w:val="007A5102"/>
    <w:rsid w:val="007A67A3"/>
    <w:rsid w:val="007B2ECB"/>
    <w:rsid w:val="007C0B88"/>
    <w:rsid w:val="007E6E71"/>
    <w:rsid w:val="007E7573"/>
    <w:rsid w:val="007F5057"/>
    <w:rsid w:val="00807CB8"/>
    <w:rsid w:val="008145AB"/>
    <w:rsid w:val="0081509C"/>
    <w:rsid w:val="008242FF"/>
    <w:rsid w:val="00826A52"/>
    <w:rsid w:val="00851C72"/>
    <w:rsid w:val="0086549D"/>
    <w:rsid w:val="00865955"/>
    <w:rsid w:val="00870751"/>
    <w:rsid w:val="008726FF"/>
    <w:rsid w:val="00875351"/>
    <w:rsid w:val="00880C69"/>
    <w:rsid w:val="00881DBA"/>
    <w:rsid w:val="008902B9"/>
    <w:rsid w:val="008A2AC1"/>
    <w:rsid w:val="008A5C56"/>
    <w:rsid w:val="008C452C"/>
    <w:rsid w:val="008D3010"/>
    <w:rsid w:val="008E0527"/>
    <w:rsid w:val="008E118C"/>
    <w:rsid w:val="008E1EB9"/>
    <w:rsid w:val="008E42BC"/>
    <w:rsid w:val="008E6E46"/>
    <w:rsid w:val="008F04D4"/>
    <w:rsid w:val="008F1C62"/>
    <w:rsid w:val="00900C92"/>
    <w:rsid w:val="00904D8E"/>
    <w:rsid w:val="00922C48"/>
    <w:rsid w:val="00924247"/>
    <w:rsid w:val="009322BA"/>
    <w:rsid w:val="00932C02"/>
    <w:rsid w:val="00941E77"/>
    <w:rsid w:val="00947747"/>
    <w:rsid w:val="00951C1E"/>
    <w:rsid w:val="009541E0"/>
    <w:rsid w:val="009601BA"/>
    <w:rsid w:val="00961EFF"/>
    <w:rsid w:val="009629A5"/>
    <w:rsid w:val="00976E9F"/>
    <w:rsid w:val="00983819"/>
    <w:rsid w:val="00987A78"/>
    <w:rsid w:val="009909A1"/>
    <w:rsid w:val="00994B83"/>
    <w:rsid w:val="00996830"/>
    <w:rsid w:val="009A1717"/>
    <w:rsid w:val="009A28AA"/>
    <w:rsid w:val="009A575A"/>
    <w:rsid w:val="009A6448"/>
    <w:rsid w:val="009A6C11"/>
    <w:rsid w:val="009B4AB6"/>
    <w:rsid w:val="009B6D32"/>
    <w:rsid w:val="009C614F"/>
    <w:rsid w:val="009E49FD"/>
    <w:rsid w:val="009F28ED"/>
    <w:rsid w:val="009F4813"/>
    <w:rsid w:val="00A13F2D"/>
    <w:rsid w:val="00A46417"/>
    <w:rsid w:val="00A5523D"/>
    <w:rsid w:val="00A66BA2"/>
    <w:rsid w:val="00A7182E"/>
    <w:rsid w:val="00A94510"/>
    <w:rsid w:val="00A94848"/>
    <w:rsid w:val="00AA0A35"/>
    <w:rsid w:val="00AA34F4"/>
    <w:rsid w:val="00AB2ABD"/>
    <w:rsid w:val="00AB3193"/>
    <w:rsid w:val="00AC0E85"/>
    <w:rsid w:val="00AC36B4"/>
    <w:rsid w:val="00AD5865"/>
    <w:rsid w:val="00AD60E7"/>
    <w:rsid w:val="00AE360A"/>
    <w:rsid w:val="00AE49B0"/>
    <w:rsid w:val="00AF4A1E"/>
    <w:rsid w:val="00AF53DD"/>
    <w:rsid w:val="00AF6DCC"/>
    <w:rsid w:val="00AF7BD9"/>
    <w:rsid w:val="00B03390"/>
    <w:rsid w:val="00B114BD"/>
    <w:rsid w:val="00B127BC"/>
    <w:rsid w:val="00B14496"/>
    <w:rsid w:val="00B158A8"/>
    <w:rsid w:val="00B25DFF"/>
    <w:rsid w:val="00B332A1"/>
    <w:rsid w:val="00B43090"/>
    <w:rsid w:val="00B4709D"/>
    <w:rsid w:val="00B527B4"/>
    <w:rsid w:val="00B572CA"/>
    <w:rsid w:val="00B61D01"/>
    <w:rsid w:val="00B65A5D"/>
    <w:rsid w:val="00B65F21"/>
    <w:rsid w:val="00B74B22"/>
    <w:rsid w:val="00B754D5"/>
    <w:rsid w:val="00B827BB"/>
    <w:rsid w:val="00B84A77"/>
    <w:rsid w:val="00B915B7"/>
    <w:rsid w:val="00BA1A7E"/>
    <w:rsid w:val="00BA3B10"/>
    <w:rsid w:val="00BB5D30"/>
    <w:rsid w:val="00BC2E91"/>
    <w:rsid w:val="00BD2DEB"/>
    <w:rsid w:val="00BE37C0"/>
    <w:rsid w:val="00BF4FF0"/>
    <w:rsid w:val="00BF68FA"/>
    <w:rsid w:val="00C0358E"/>
    <w:rsid w:val="00C03C83"/>
    <w:rsid w:val="00C06F7E"/>
    <w:rsid w:val="00C44151"/>
    <w:rsid w:val="00C52BC1"/>
    <w:rsid w:val="00C60F76"/>
    <w:rsid w:val="00C92847"/>
    <w:rsid w:val="00C931D6"/>
    <w:rsid w:val="00CA1665"/>
    <w:rsid w:val="00CB6F6D"/>
    <w:rsid w:val="00CC3A72"/>
    <w:rsid w:val="00CC3DB6"/>
    <w:rsid w:val="00CC5E73"/>
    <w:rsid w:val="00CF18C8"/>
    <w:rsid w:val="00CF2B12"/>
    <w:rsid w:val="00CF6978"/>
    <w:rsid w:val="00D01084"/>
    <w:rsid w:val="00D2546B"/>
    <w:rsid w:val="00D268B0"/>
    <w:rsid w:val="00D3269C"/>
    <w:rsid w:val="00D33F80"/>
    <w:rsid w:val="00D3760E"/>
    <w:rsid w:val="00D37B9E"/>
    <w:rsid w:val="00D37CD5"/>
    <w:rsid w:val="00D44932"/>
    <w:rsid w:val="00D47B8D"/>
    <w:rsid w:val="00D52706"/>
    <w:rsid w:val="00D55066"/>
    <w:rsid w:val="00D5536D"/>
    <w:rsid w:val="00D635E8"/>
    <w:rsid w:val="00D63B63"/>
    <w:rsid w:val="00D646E2"/>
    <w:rsid w:val="00D70EF5"/>
    <w:rsid w:val="00D748CA"/>
    <w:rsid w:val="00D76FEE"/>
    <w:rsid w:val="00D94288"/>
    <w:rsid w:val="00D96FDE"/>
    <w:rsid w:val="00DB254B"/>
    <w:rsid w:val="00DC1B01"/>
    <w:rsid w:val="00DC7BA2"/>
    <w:rsid w:val="00DE356A"/>
    <w:rsid w:val="00DE5E37"/>
    <w:rsid w:val="00E05582"/>
    <w:rsid w:val="00E240C4"/>
    <w:rsid w:val="00E44A54"/>
    <w:rsid w:val="00E47709"/>
    <w:rsid w:val="00E47B80"/>
    <w:rsid w:val="00E508E2"/>
    <w:rsid w:val="00E61566"/>
    <w:rsid w:val="00E644B3"/>
    <w:rsid w:val="00E717FC"/>
    <w:rsid w:val="00E77FD2"/>
    <w:rsid w:val="00E8499F"/>
    <w:rsid w:val="00E91769"/>
    <w:rsid w:val="00E9576E"/>
    <w:rsid w:val="00E9739F"/>
    <w:rsid w:val="00EA2995"/>
    <w:rsid w:val="00EA59DF"/>
    <w:rsid w:val="00EA6E5C"/>
    <w:rsid w:val="00EB4338"/>
    <w:rsid w:val="00EB46B7"/>
    <w:rsid w:val="00ED555F"/>
    <w:rsid w:val="00EE3FBE"/>
    <w:rsid w:val="00EE4070"/>
    <w:rsid w:val="00EF402B"/>
    <w:rsid w:val="00EF6873"/>
    <w:rsid w:val="00F04BED"/>
    <w:rsid w:val="00F05BB8"/>
    <w:rsid w:val="00F10344"/>
    <w:rsid w:val="00F12C76"/>
    <w:rsid w:val="00F202C0"/>
    <w:rsid w:val="00F2135C"/>
    <w:rsid w:val="00F30370"/>
    <w:rsid w:val="00F344C9"/>
    <w:rsid w:val="00F50A83"/>
    <w:rsid w:val="00F53DFA"/>
    <w:rsid w:val="00F750D3"/>
    <w:rsid w:val="00FA3356"/>
    <w:rsid w:val="00FA42B9"/>
    <w:rsid w:val="00FA640C"/>
    <w:rsid w:val="00FB2BE0"/>
    <w:rsid w:val="00FB5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F7DF"/>
  <w15:chartTrackingRefBased/>
  <w15:docId w15:val="{F0950DE5-8744-497E-9C51-CC487FB5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FE"/>
    <w:pPr>
      <w:spacing w:line="240" w:lineRule="auto"/>
    </w:pPr>
    <w:rPr>
      <w:rFonts w:ascii="Times New Roman" w:hAnsi="Times New Roman"/>
      <w:sz w:val="24"/>
      <w:lang w:val="ro-RO"/>
    </w:rPr>
  </w:style>
  <w:style w:type="paragraph" w:styleId="Heading1">
    <w:name w:val="heading 1"/>
    <w:basedOn w:val="Normal"/>
    <w:link w:val="Heading1Char"/>
    <w:uiPriority w:val="9"/>
    <w:qFormat/>
    <w:rsid w:val="00875351"/>
    <w:pPr>
      <w:spacing w:before="100" w:beforeAutospacing="1" w:after="100" w:afterAutospacing="1"/>
      <w:outlineLvl w:val="0"/>
    </w:pPr>
    <w:rPr>
      <w:rFonts w:eastAsia="Times New Roman" w:cs="Times New Roman"/>
      <w:b/>
      <w:bCs/>
      <w:kern w:val="36"/>
      <w:sz w:val="48"/>
      <w:szCs w:val="48"/>
      <w:lang w:val="en-US"/>
    </w:rPr>
  </w:style>
  <w:style w:type="paragraph" w:styleId="Heading2">
    <w:name w:val="heading 2"/>
    <w:basedOn w:val="Normal"/>
    <w:link w:val="Heading2Char"/>
    <w:uiPriority w:val="9"/>
    <w:qFormat/>
    <w:rsid w:val="00875351"/>
    <w:pPr>
      <w:spacing w:before="100" w:beforeAutospacing="1" w:after="100" w:afterAutospacing="1"/>
      <w:outlineLvl w:val="1"/>
    </w:pPr>
    <w:rPr>
      <w:rFonts w:eastAsia="Times New Roman" w:cs="Times New Roman"/>
      <w:b/>
      <w:bCs/>
      <w:sz w:val="36"/>
      <w:szCs w:val="36"/>
      <w:lang w:val="en-US"/>
    </w:rPr>
  </w:style>
  <w:style w:type="paragraph" w:styleId="Heading3">
    <w:name w:val="heading 3"/>
    <w:basedOn w:val="Normal"/>
    <w:link w:val="Heading3Char"/>
    <w:uiPriority w:val="9"/>
    <w:qFormat/>
    <w:rsid w:val="00875351"/>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EB46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351"/>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7535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875351"/>
    <w:rPr>
      <w:rFonts w:ascii="Times New Roman" w:eastAsia="Times New Roman" w:hAnsi="Times New Roman" w:cs="Times New Roman"/>
      <w:b/>
      <w:bCs/>
      <w:sz w:val="27"/>
      <w:szCs w:val="27"/>
      <w:lang w:val="en-US"/>
    </w:rPr>
  </w:style>
  <w:style w:type="paragraph" w:styleId="NormalWeb">
    <w:name w:val="Normal (Web)"/>
    <w:aliases w:val="Знак,webb, Знак"/>
    <w:basedOn w:val="Normal"/>
    <w:link w:val="NormalWebChar"/>
    <w:uiPriority w:val="99"/>
    <w:unhideWhenUsed/>
    <w:qFormat/>
    <w:rsid w:val="00875351"/>
    <w:pPr>
      <w:spacing w:before="100" w:beforeAutospacing="1" w:after="100" w:afterAutospacing="1"/>
    </w:pPr>
    <w:rPr>
      <w:rFonts w:eastAsia="Times New Roman" w:cs="Times New Roman"/>
      <w:szCs w:val="24"/>
      <w:lang w:val="en-US"/>
    </w:rPr>
  </w:style>
  <w:style w:type="character" w:styleId="Strong">
    <w:name w:val="Strong"/>
    <w:basedOn w:val="DefaultParagraphFont"/>
    <w:uiPriority w:val="22"/>
    <w:qFormat/>
    <w:rsid w:val="00875351"/>
    <w:rPr>
      <w:b/>
      <w:bCs/>
    </w:rPr>
  </w:style>
  <w:style w:type="character" w:styleId="Hyperlink">
    <w:name w:val="Hyperlink"/>
    <w:basedOn w:val="DefaultParagraphFont"/>
    <w:uiPriority w:val="99"/>
    <w:unhideWhenUsed/>
    <w:rsid w:val="00875351"/>
    <w:rPr>
      <w:color w:val="0000FF"/>
      <w:u w:val="single"/>
    </w:rPr>
  </w:style>
  <w:style w:type="paragraph" w:styleId="NoSpacing">
    <w:name w:val="No Spacing"/>
    <w:uiPriority w:val="1"/>
    <w:qFormat/>
    <w:rsid w:val="00596F78"/>
    <w:pPr>
      <w:spacing w:after="0" w:line="240" w:lineRule="auto"/>
    </w:pPr>
    <w:rPr>
      <w:rFonts w:ascii="Times New Roman" w:hAnsi="Times New Roman"/>
      <w:sz w:val="28"/>
      <w:lang w:val="ro-RO"/>
    </w:rPr>
  </w:style>
  <w:style w:type="character" w:customStyle="1" w:styleId="citation-351">
    <w:name w:val="citation-351"/>
    <w:basedOn w:val="DefaultParagraphFont"/>
    <w:rsid w:val="00AB3193"/>
  </w:style>
  <w:style w:type="character" w:customStyle="1" w:styleId="citation-350">
    <w:name w:val="citation-350"/>
    <w:basedOn w:val="DefaultParagraphFont"/>
    <w:rsid w:val="00AB3193"/>
  </w:style>
  <w:style w:type="character" w:customStyle="1" w:styleId="citation-349">
    <w:name w:val="citation-349"/>
    <w:basedOn w:val="DefaultParagraphFont"/>
    <w:rsid w:val="00AB3193"/>
  </w:style>
  <w:style w:type="character" w:customStyle="1" w:styleId="citation-348">
    <w:name w:val="citation-348"/>
    <w:basedOn w:val="DefaultParagraphFont"/>
    <w:rsid w:val="00AB3193"/>
  </w:style>
  <w:style w:type="character" w:customStyle="1" w:styleId="citation-347">
    <w:name w:val="citation-347"/>
    <w:basedOn w:val="DefaultParagraphFont"/>
    <w:rsid w:val="00AB3193"/>
  </w:style>
  <w:style w:type="character" w:customStyle="1" w:styleId="citation-346">
    <w:name w:val="citation-346"/>
    <w:basedOn w:val="DefaultParagraphFont"/>
    <w:rsid w:val="00AB3193"/>
  </w:style>
  <w:style w:type="character" w:customStyle="1" w:styleId="citation-344">
    <w:name w:val="citation-344"/>
    <w:basedOn w:val="DefaultParagraphFont"/>
    <w:rsid w:val="001C0DFE"/>
  </w:style>
  <w:style w:type="character" w:customStyle="1" w:styleId="citation-343">
    <w:name w:val="citation-343"/>
    <w:basedOn w:val="DefaultParagraphFont"/>
    <w:rsid w:val="001C0DFE"/>
  </w:style>
  <w:style w:type="character" w:customStyle="1" w:styleId="citation-342">
    <w:name w:val="citation-342"/>
    <w:basedOn w:val="DefaultParagraphFont"/>
    <w:rsid w:val="001C0DFE"/>
  </w:style>
  <w:style w:type="character" w:customStyle="1" w:styleId="citation-341">
    <w:name w:val="citation-341"/>
    <w:basedOn w:val="DefaultParagraphFont"/>
    <w:rsid w:val="001C0DFE"/>
  </w:style>
  <w:style w:type="character" w:customStyle="1" w:styleId="citation-340">
    <w:name w:val="citation-340"/>
    <w:basedOn w:val="DefaultParagraphFont"/>
    <w:rsid w:val="001C0DFE"/>
  </w:style>
  <w:style w:type="character" w:customStyle="1" w:styleId="citation-339">
    <w:name w:val="citation-339"/>
    <w:basedOn w:val="DefaultParagraphFont"/>
    <w:rsid w:val="001C0DFE"/>
  </w:style>
  <w:style w:type="character" w:customStyle="1" w:styleId="citation-338">
    <w:name w:val="citation-338"/>
    <w:basedOn w:val="DefaultParagraphFont"/>
    <w:rsid w:val="001C0DFE"/>
  </w:style>
  <w:style w:type="character" w:customStyle="1" w:styleId="citation-337">
    <w:name w:val="citation-337"/>
    <w:basedOn w:val="DefaultParagraphFont"/>
    <w:rsid w:val="001C0DFE"/>
  </w:style>
  <w:style w:type="character" w:customStyle="1" w:styleId="citation-336">
    <w:name w:val="citation-336"/>
    <w:basedOn w:val="DefaultParagraphFont"/>
    <w:rsid w:val="001C0DFE"/>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AF53DD"/>
    <w:pPr>
      <w:ind w:left="720"/>
      <w:contextualSpacing/>
    </w:pPr>
  </w:style>
  <w:style w:type="table" w:styleId="TableGrid">
    <w:name w:val="Table Grid"/>
    <w:basedOn w:val="TableNormal"/>
    <w:uiPriority w:val="39"/>
    <w:rsid w:val="000B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67D"/>
    <w:pPr>
      <w:tabs>
        <w:tab w:val="center" w:pos="4680"/>
        <w:tab w:val="right" w:pos="9360"/>
      </w:tabs>
      <w:spacing w:after="0"/>
    </w:pPr>
  </w:style>
  <w:style w:type="character" w:customStyle="1" w:styleId="HeaderChar">
    <w:name w:val="Header Char"/>
    <w:basedOn w:val="DefaultParagraphFont"/>
    <w:link w:val="Header"/>
    <w:uiPriority w:val="99"/>
    <w:rsid w:val="0002467D"/>
    <w:rPr>
      <w:rFonts w:ascii="Times New Roman" w:hAnsi="Times New Roman"/>
      <w:sz w:val="24"/>
      <w:lang w:val="ro-RO"/>
    </w:rPr>
  </w:style>
  <w:style w:type="paragraph" w:styleId="Footer">
    <w:name w:val="footer"/>
    <w:basedOn w:val="Normal"/>
    <w:link w:val="FooterChar"/>
    <w:uiPriority w:val="99"/>
    <w:unhideWhenUsed/>
    <w:rsid w:val="0002467D"/>
    <w:pPr>
      <w:tabs>
        <w:tab w:val="center" w:pos="4680"/>
        <w:tab w:val="right" w:pos="9360"/>
      </w:tabs>
      <w:spacing w:after="0"/>
    </w:pPr>
  </w:style>
  <w:style w:type="character" w:customStyle="1" w:styleId="FooterChar">
    <w:name w:val="Footer Char"/>
    <w:basedOn w:val="DefaultParagraphFont"/>
    <w:link w:val="Footer"/>
    <w:uiPriority w:val="99"/>
    <w:rsid w:val="0002467D"/>
    <w:rPr>
      <w:rFonts w:ascii="Times New Roman" w:hAnsi="Times New Roman"/>
      <w:sz w:val="24"/>
      <w:lang w:val="ro-RO"/>
    </w:rPr>
  </w:style>
  <w:style w:type="paragraph" w:styleId="Revision">
    <w:name w:val="Revision"/>
    <w:hidden/>
    <w:uiPriority w:val="99"/>
    <w:semiHidden/>
    <w:rsid w:val="00EB46B7"/>
    <w:pPr>
      <w:spacing w:after="0" w:line="240" w:lineRule="auto"/>
    </w:pPr>
    <w:rPr>
      <w:rFonts w:ascii="Times New Roman" w:hAnsi="Times New Roman"/>
      <w:sz w:val="24"/>
      <w:lang w:val="ro-RO"/>
    </w:rPr>
  </w:style>
  <w:style w:type="character" w:customStyle="1" w:styleId="Heading4Char">
    <w:name w:val="Heading 4 Char"/>
    <w:basedOn w:val="DefaultParagraphFont"/>
    <w:link w:val="Heading4"/>
    <w:uiPriority w:val="9"/>
    <w:semiHidden/>
    <w:rsid w:val="00EB46B7"/>
    <w:rPr>
      <w:rFonts w:asciiTheme="majorHAnsi" w:eastAsiaTheme="majorEastAsia" w:hAnsiTheme="majorHAnsi" w:cstheme="majorBidi"/>
      <w:i/>
      <w:iCs/>
      <w:color w:val="2E74B5" w:themeColor="accent1" w:themeShade="BF"/>
      <w:sz w:val="24"/>
      <w:lang w:val="ro-RO"/>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qFormat/>
    <w:rsid w:val="00EB46B7"/>
    <w:rPr>
      <w:rFonts w:ascii="Times New Roman" w:hAnsi="Times New Roman"/>
      <w:sz w:val="24"/>
      <w:lang w:val="ro-RO"/>
    </w:rPr>
  </w:style>
  <w:style w:type="character" w:styleId="CommentReference">
    <w:name w:val="annotation reference"/>
    <w:basedOn w:val="DefaultParagraphFont"/>
    <w:uiPriority w:val="99"/>
    <w:semiHidden/>
    <w:unhideWhenUsed/>
    <w:rsid w:val="00EB46B7"/>
    <w:rPr>
      <w:sz w:val="16"/>
      <w:szCs w:val="16"/>
    </w:rPr>
  </w:style>
  <w:style w:type="paragraph" w:styleId="CommentText">
    <w:name w:val="annotation text"/>
    <w:basedOn w:val="Normal"/>
    <w:link w:val="CommentTextChar"/>
    <w:uiPriority w:val="99"/>
    <w:semiHidden/>
    <w:unhideWhenUsed/>
    <w:rsid w:val="00EB46B7"/>
    <w:rPr>
      <w:sz w:val="20"/>
      <w:szCs w:val="20"/>
    </w:rPr>
  </w:style>
  <w:style w:type="character" w:customStyle="1" w:styleId="CommentTextChar">
    <w:name w:val="Comment Text Char"/>
    <w:basedOn w:val="DefaultParagraphFont"/>
    <w:link w:val="CommentText"/>
    <w:uiPriority w:val="99"/>
    <w:semiHidden/>
    <w:rsid w:val="00EB46B7"/>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EB46B7"/>
    <w:rPr>
      <w:b/>
      <w:bCs/>
    </w:rPr>
  </w:style>
  <w:style w:type="character" w:customStyle="1" w:styleId="CommentSubjectChar">
    <w:name w:val="Comment Subject Char"/>
    <w:basedOn w:val="CommentTextChar"/>
    <w:link w:val="CommentSubject"/>
    <w:uiPriority w:val="99"/>
    <w:semiHidden/>
    <w:rsid w:val="00EB46B7"/>
    <w:rPr>
      <w:rFonts w:ascii="Times New Roman" w:hAnsi="Times New Roman"/>
      <w:b/>
      <w:bCs/>
      <w:sz w:val="20"/>
      <w:szCs w:val="20"/>
      <w:lang w:val="ro-RO"/>
    </w:rPr>
  </w:style>
  <w:style w:type="character" w:customStyle="1" w:styleId="NormalWebChar">
    <w:name w:val="Normal (Web) Char"/>
    <w:aliases w:val="Знак Char,webb Char, Знак Char"/>
    <w:link w:val="NormalWeb"/>
    <w:rsid w:val="00EB46B7"/>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B46B7"/>
  </w:style>
  <w:style w:type="paragraph" w:customStyle="1" w:styleId="Default">
    <w:name w:val="Default"/>
    <w:rsid w:val="00A4641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21">
    <w:name w:val="font21"/>
    <w:qFormat/>
    <w:rsid w:val="00A46417"/>
    <w:rPr>
      <w:rFonts w:ascii="Times New Roman" w:hAnsi="Times New Roman" w:cs="Times New Roman" w:hint="default"/>
      <w:b/>
      <w:bCs/>
      <w:color w:val="000000"/>
      <w:u w:val="none"/>
    </w:rPr>
  </w:style>
  <w:style w:type="character" w:customStyle="1" w:styleId="font41">
    <w:name w:val="font41"/>
    <w:qFormat/>
    <w:rsid w:val="00A46417"/>
    <w:rPr>
      <w:rFonts w:ascii="Times New Roman" w:hAnsi="Times New Roman" w:cs="Times New Roman" w:hint="default"/>
      <w:b/>
      <w:bCs/>
      <w:color w:val="000000"/>
      <w:u w:val="none"/>
      <w:vertAlign w:val="superscript"/>
    </w:rPr>
  </w:style>
  <w:style w:type="paragraph" w:styleId="FootnoteText">
    <w:name w:val="footnote text"/>
    <w:basedOn w:val="Normal"/>
    <w:link w:val="FootnoteTextChar"/>
    <w:uiPriority w:val="99"/>
    <w:semiHidden/>
    <w:unhideWhenUsed/>
    <w:rsid w:val="00A46417"/>
    <w:pPr>
      <w:spacing w:after="0"/>
    </w:pPr>
    <w:rPr>
      <w:sz w:val="20"/>
      <w:szCs w:val="20"/>
    </w:rPr>
  </w:style>
  <w:style w:type="character" w:customStyle="1" w:styleId="FootnoteTextChar">
    <w:name w:val="Footnote Text Char"/>
    <w:basedOn w:val="DefaultParagraphFont"/>
    <w:link w:val="FootnoteText"/>
    <w:uiPriority w:val="99"/>
    <w:semiHidden/>
    <w:rsid w:val="00A46417"/>
    <w:rPr>
      <w:rFonts w:ascii="Times New Roman" w:hAnsi="Times New Roman"/>
      <w:sz w:val="20"/>
      <w:szCs w:val="20"/>
      <w:lang w:val="ro-RO"/>
    </w:rPr>
  </w:style>
  <w:style w:type="character" w:styleId="FootnoteReference">
    <w:name w:val="footnote reference"/>
    <w:basedOn w:val="DefaultParagraphFont"/>
    <w:uiPriority w:val="99"/>
    <w:semiHidden/>
    <w:unhideWhenUsed/>
    <w:rsid w:val="00A46417"/>
    <w:rPr>
      <w:vertAlign w:val="superscript"/>
    </w:rPr>
  </w:style>
  <w:style w:type="character" w:customStyle="1" w:styleId="citation-132">
    <w:name w:val="citation-132"/>
    <w:basedOn w:val="DefaultParagraphFont"/>
    <w:rsid w:val="00A46417"/>
  </w:style>
  <w:style w:type="character" w:customStyle="1" w:styleId="slitbdy">
    <w:name w:val="s_lit_bdy"/>
    <w:basedOn w:val="DefaultParagraphFont"/>
    <w:rsid w:val="00A46417"/>
  </w:style>
  <w:style w:type="character" w:customStyle="1" w:styleId="citation-133">
    <w:name w:val="citation-133"/>
    <w:basedOn w:val="DefaultParagraphFont"/>
    <w:rsid w:val="001C603D"/>
  </w:style>
  <w:style w:type="character" w:customStyle="1" w:styleId="citation-131">
    <w:name w:val="citation-131"/>
    <w:basedOn w:val="DefaultParagraphFont"/>
    <w:rsid w:val="001C603D"/>
  </w:style>
  <w:style w:type="character" w:customStyle="1" w:styleId="citation-130">
    <w:name w:val="citation-130"/>
    <w:basedOn w:val="DefaultParagraphFont"/>
    <w:rsid w:val="001C603D"/>
  </w:style>
  <w:style w:type="character" w:customStyle="1" w:styleId="citation-129">
    <w:name w:val="citation-129"/>
    <w:basedOn w:val="DefaultParagraphFont"/>
    <w:rsid w:val="001C603D"/>
  </w:style>
  <w:style w:type="character" w:customStyle="1" w:styleId="citation-128">
    <w:name w:val="citation-128"/>
    <w:basedOn w:val="DefaultParagraphFont"/>
    <w:rsid w:val="001C603D"/>
  </w:style>
  <w:style w:type="character" w:customStyle="1" w:styleId="citation-127">
    <w:name w:val="citation-127"/>
    <w:basedOn w:val="DefaultParagraphFont"/>
    <w:rsid w:val="001C603D"/>
  </w:style>
  <w:style w:type="character" w:customStyle="1" w:styleId="citation-126">
    <w:name w:val="citation-126"/>
    <w:basedOn w:val="DefaultParagraphFont"/>
    <w:rsid w:val="001C603D"/>
  </w:style>
  <w:style w:type="character" w:customStyle="1" w:styleId="citation-125">
    <w:name w:val="citation-125"/>
    <w:basedOn w:val="DefaultParagraphFont"/>
    <w:rsid w:val="001C603D"/>
  </w:style>
  <w:style w:type="character" w:customStyle="1" w:styleId="citation-124">
    <w:name w:val="citation-124"/>
    <w:basedOn w:val="DefaultParagraphFont"/>
    <w:rsid w:val="001C603D"/>
  </w:style>
  <w:style w:type="character" w:customStyle="1" w:styleId="citation-123">
    <w:name w:val="citation-123"/>
    <w:basedOn w:val="DefaultParagraphFont"/>
    <w:rsid w:val="001C603D"/>
  </w:style>
  <w:style w:type="character" w:customStyle="1" w:styleId="citation-122">
    <w:name w:val="citation-122"/>
    <w:basedOn w:val="DefaultParagraphFont"/>
    <w:rsid w:val="001C603D"/>
  </w:style>
  <w:style w:type="character" w:customStyle="1" w:styleId="citation-117">
    <w:name w:val="citation-117"/>
    <w:basedOn w:val="DefaultParagraphFont"/>
    <w:rsid w:val="001C603D"/>
  </w:style>
  <w:style w:type="character" w:customStyle="1" w:styleId="citation-116">
    <w:name w:val="citation-116"/>
    <w:basedOn w:val="DefaultParagraphFont"/>
    <w:rsid w:val="001C603D"/>
  </w:style>
  <w:style w:type="paragraph" w:styleId="BalloonText">
    <w:name w:val="Balloon Text"/>
    <w:basedOn w:val="Normal"/>
    <w:link w:val="BalloonTextChar"/>
    <w:uiPriority w:val="99"/>
    <w:semiHidden/>
    <w:unhideWhenUsed/>
    <w:rsid w:val="00C03C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83"/>
    <w:rPr>
      <w:rFonts w:ascii="Segoe UI" w:hAnsi="Segoe UI" w:cs="Segoe UI"/>
      <w:sz w:val="18"/>
      <w:szCs w:val="18"/>
      <w:lang w:val="ro-RO"/>
    </w:rPr>
  </w:style>
  <w:style w:type="paragraph" w:customStyle="1" w:styleId="BodyText1">
    <w:name w:val="Body Text 1"/>
    <w:basedOn w:val="BodyText"/>
    <w:rsid w:val="00695875"/>
    <w:pPr>
      <w:tabs>
        <w:tab w:val="right" w:pos="-2127"/>
      </w:tabs>
      <w:suppressAutoHyphens/>
      <w:autoSpaceDE w:val="0"/>
      <w:jc w:val="both"/>
    </w:pPr>
    <w:rPr>
      <w:rFonts w:eastAsia="Times New Roman" w:cs="Times New Roman"/>
      <w:szCs w:val="24"/>
      <w:lang w:val="es-ES" w:eastAsia="ar-SA"/>
    </w:rPr>
  </w:style>
  <w:style w:type="paragraph" w:styleId="BodyText">
    <w:name w:val="Body Text"/>
    <w:basedOn w:val="Normal"/>
    <w:link w:val="BodyTextChar"/>
    <w:uiPriority w:val="99"/>
    <w:semiHidden/>
    <w:unhideWhenUsed/>
    <w:rsid w:val="00695875"/>
    <w:pPr>
      <w:spacing w:after="120"/>
    </w:pPr>
  </w:style>
  <w:style w:type="character" w:customStyle="1" w:styleId="BodyTextChar">
    <w:name w:val="Body Text Char"/>
    <w:basedOn w:val="DefaultParagraphFont"/>
    <w:link w:val="BodyText"/>
    <w:uiPriority w:val="99"/>
    <w:semiHidden/>
    <w:rsid w:val="00695875"/>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886">
      <w:bodyDiv w:val="1"/>
      <w:marLeft w:val="0"/>
      <w:marRight w:val="0"/>
      <w:marTop w:val="0"/>
      <w:marBottom w:val="0"/>
      <w:divBdr>
        <w:top w:val="none" w:sz="0" w:space="0" w:color="auto"/>
        <w:left w:val="none" w:sz="0" w:space="0" w:color="auto"/>
        <w:bottom w:val="none" w:sz="0" w:space="0" w:color="auto"/>
        <w:right w:val="none" w:sz="0" w:space="0" w:color="auto"/>
      </w:divBdr>
    </w:div>
    <w:div w:id="18749894">
      <w:bodyDiv w:val="1"/>
      <w:marLeft w:val="0"/>
      <w:marRight w:val="0"/>
      <w:marTop w:val="0"/>
      <w:marBottom w:val="0"/>
      <w:divBdr>
        <w:top w:val="none" w:sz="0" w:space="0" w:color="auto"/>
        <w:left w:val="none" w:sz="0" w:space="0" w:color="auto"/>
        <w:bottom w:val="none" w:sz="0" w:space="0" w:color="auto"/>
        <w:right w:val="none" w:sz="0" w:space="0" w:color="auto"/>
      </w:divBdr>
    </w:div>
    <w:div w:id="213010538">
      <w:bodyDiv w:val="1"/>
      <w:marLeft w:val="0"/>
      <w:marRight w:val="0"/>
      <w:marTop w:val="0"/>
      <w:marBottom w:val="0"/>
      <w:divBdr>
        <w:top w:val="none" w:sz="0" w:space="0" w:color="auto"/>
        <w:left w:val="none" w:sz="0" w:space="0" w:color="auto"/>
        <w:bottom w:val="none" w:sz="0" w:space="0" w:color="auto"/>
        <w:right w:val="none" w:sz="0" w:space="0" w:color="auto"/>
      </w:divBdr>
    </w:div>
    <w:div w:id="311101590">
      <w:bodyDiv w:val="1"/>
      <w:marLeft w:val="0"/>
      <w:marRight w:val="0"/>
      <w:marTop w:val="0"/>
      <w:marBottom w:val="0"/>
      <w:divBdr>
        <w:top w:val="none" w:sz="0" w:space="0" w:color="auto"/>
        <w:left w:val="none" w:sz="0" w:space="0" w:color="auto"/>
        <w:bottom w:val="none" w:sz="0" w:space="0" w:color="auto"/>
        <w:right w:val="none" w:sz="0" w:space="0" w:color="auto"/>
      </w:divBdr>
    </w:div>
    <w:div w:id="475411676">
      <w:bodyDiv w:val="1"/>
      <w:marLeft w:val="0"/>
      <w:marRight w:val="0"/>
      <w:marTop w:val="0"/>
      <w:marBottom w:val="0"/>
      <w:divBdr>
        <w:top w:val="none" w:sz="0" w:space="0" w:color="auto"/>
        <w:left w:val="none" w:sz="0" w:space="0" w:color="auto"/>
        <w:bottom w:val="none" w:sz="0" w:space="0" w:color="auto"/>
        <w:right w:val="none" w:sz="0" w:space="0" w:color="auto"/>
      </w:divBdr>
    </w:div>
    <w:div w:id="560487865">
      <w:bodyDiv w:val="1"/>
      <w:marLeft w:val="0"/>
      <w:marRight w:val="0"/>
      <w:marTop w:val="0"/>
      <w:marBottom w:val="0"/>
      <w:divBdr>
        <w:top w:val="none" w:sz="0" w:space="0" w:color="auto"/>
        <w:left w:val="none" w:sz="0" w:space="0" w:color="auto"/>
        <w:bottom w:val="none" w:sz="0" w:space="0" w:color="auto"/>
        <w:right w:val="none" w:sz="0" w:space="0" w:color="auto"/>
      </w:divBdr>
    </w:div>
    <w:div w:id="789402575">
      <w:bodyDiv w:val="1"/>
      <w:marLeft w:val="0"/>
      <w:marRight w:val="0"/>
      <w:marTop w:val="0"/>
      <w:marBottom w:val="0"/>
      <w:divBdr>
        <w:top w:val="none" w:sz="0" w:space="0" w:color="auto"/>
        <w:left w:val="none" w:sz="0" w:space="0" w:color="auto"/>
        <w:bottom w:val="none" w:sz="0" w:space="0" w:color="auto"/>
        <w:right w:val="none" w:sz="0" w:space="0" w:color="auto"/>
      </w:divBdr>
    </w:div>
    <w:div w:id="917788310">
      <w:bodyDiv w:val="1"/>
      <w:marLeft w:val="0"/>
      <w:marRight w:val="0"/>
      <w:marTop w:val="0"/>
      <w:marBottom w:val="0"/>
      <w:divBdr>
        <w:top w:val="none" w:sz="0" w:space="0" w:color="auto"/>
        <w:left w:val="none" w:sz="0" w:space="0" w:color="auto"/>
        <w:bottom w:val="none" w:sz="0" w:space="0" w:color="auto"/>
        <w:right w:val="none" w:sz="0" w:space="0" w:color="auto"/>
      </w:divBdr>
    </w:div>
    <w:div w:id="966547832">
      <w:bodyDiv w:val="1"/>
      <w:marLeft w:val="0"/>
      <w:marRight w:val="0"/>
      <w:marTop w:val="0"/>
      <w:marBottom w:val="0"/>
      <w:divBdr>
        <w:top w:val="none" w:sz="0" w:space="0" w:color="auto"/>
        <w:left w:val="none" w:sz="0" w:space="0" w:color="auto"/>
        <w:bottom w:val="none" w:sz="0" w:space="0" w:color="auto"/>
        <w:right w:val="none" w:sz="0" w:space="0" w:color="auto"/>
      </w:divBdr>
    </w:div>
    <w:div w:id="1182163758">
      <w:bodyDiv w:val="1"/>
      <w:marLeft w:val="0"/>
      <w:marRight w:val="0"/>
      <w:marTop w:val="0"/>
      <w:marBottom w:val="0"/>
      <w:divBdr>
        <w:top w:val="none" w:sz="0" w:space="0" w:color="auto"/>
        <w:left w:val="none" w:sz="0" w:space="0" w:color="auto"/>
        <w:bottom w:val="none" w:sz="0" w:space="0" w:color="auto"/>
        <w:right w:val="none" w:sz="0" w:space="0" w:color="auto"/>
      </w:divBdr>
    </w:div>
    <w:div w:id="1252928477">
      <w:bodyDiv w:val="1"/>
      <w:marLeft w:val="0"/>
      <w:marRight w:val="0"/>
      <w:marTop w:val="0"/>
      <w:marBottom w:val="0"/>
      <w:divBdr>
        <w:top w:val="none" w:sz="0" w:space="0" w:color="auto"/>
        <w:left w:val="none" w:sz="0" w:space="0" w:color="auto"/>
        <w:bottom w:val="none" w:sz="0" w:space="0" w:color="auto"/>
        <w:right w:val="none" w:sz="0" w:space="0" w:color="auto"/>
      </w:divBdr>
    </w:div>
    <w:div w:id="1315454801">
      <w:bodyDiv w:val="1"/>
      <w:marLeft w:val="0"/>
      <w:marRight w:val="0"/>
      <w:marTop w:val="0"/>
      <w:marBottom w:val="0"/>
      <w:divBdr>
        <w:top w:val="none" w:sz="0" w:space="0" w:color="auto"/>
        <w:left w:val="none" w:sz="0" w:space="0" w:color="auto"/>
        <w:bottom w:val="none" w:sz="0" w:space="0" w:color="auto"/>
        <w:right w:val="none" w:sz="0" w:space="0" w:color="auto"/>
      </w:divBdr>
    </w:div>
    <w:div w:id="1507791452">
      <w:bodyDiv w:val="1"/>
      <w:marLeft w:val="0"/>
      <w:marRight w:val="0"/>
      <w:marTop w:val="0"/>
      <w:marBottom w:val="0"/>
      <w:divBdr>
        <w:top w:val="none" w:sz="0" w:space="0" w:color="auto"/>
        <w:left w:val="none" w:sz="0" w:space="0" w:color="auto"/>
        <w:bottom w:val="none" w:sz="0" w:space="0" w:color="auto"/>
        <w:right w:val="none" w:sz="0" w:space="0" w:color="auto"/>
      </w:divBdr>
    </w:div>
    <w:div w:id="1848402024">
      <w:bodyDiv w:val="1"/>
      <w:marLeft w:val="0"/>
      <w:marRight w:val="0"/>
      <w:marTop w:val="0"/>
      <w:marBottom w:val="0"/>
      <w:divBdr>
        <w:top w:val="none" w:sz="0" w:space="0" w:color="auto"/>
        <w:left w:val="none" w:sz="0" w:space="0" w:color="auto"/>
        <w:bottom w:val="none" w:sz="0" w:space="0" w:color="auto"/>
        <w:right w:val="none" w:sz="0" w:space="0" w:color="auto"/>
      </w:divBdr>
    </w:div>
    <w:div w:id="21292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sf.ro/?pagina=aca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er.eu/wp-content/uploads/2024/09/ACER-CEER_2024_MMR_Retail-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B0B9-C163-4B15-80C2-79F9F29F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14</Pages>
  <Words>7360</Words>
  <Characters>41956</Characters>
  <Application>Microsoft Office Word</Application>
  <DocSecurity>0</DocSecurity>
  <Lines>349</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 Denis</dc:creator>
  <cp:keywords/>
  <dc:description/>
  <cp:lastModifiedBy>Elena Indries</cp:lastModifiedBy>
  <cp:revision>29</cp:revision>
  <dcterms:created xsi:type="dcterms:W3CDTF">2025-12-31T13:38:00Z</dcterms:created>
  <dcterms:modified xsi:type="dcterms:W3CDTF">2026-03-12T07:05:00Z</dcterms:modified>
</cp:coreProperties>
</file>